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736975" cy="381635"/>
            <wp:effectExtent l="19050" t="0" r="0" b="0"/>
            <wp:docPr id="1" name="Picture 1" descr="Criteria for Elig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teria for Eligibility"/>
                    <pic:cNvPicPr>
                      <a:picLocks noChangeAspect="1" noChangeArrowheads="1"/>
                    </pic:cNvPicPr>
                  </pic:nvPicPr>
                  <pic:blipFill>
                    <a:blip r:embed="rId4" cstate="print"/>
                    <a:srcRect/>
                    <a:stretch>
                      <a:fillRect/>
                    </a:stretch>
                  </pic:blipFill>
                  <pic:spPr bwMode="auto">
                    <a:xfrm>
                      <a:off x="0" y="0"/>
                      <a:ext cx="3736975" cy="381635"/>
                    </a:xfrm>
                    <a:prstGeom prst="rect">
                      <a:avLst/>
                    </a:prstGeom>
                    <a:noFill/>
                    <a:ln w="9525">
                      <a:noFill/>
                      <a:miter lim="800000"/>
                      <a:headEnd/>
                      <a:tailEnd/>
                    </a:ln>
                  </pic:spPr>
                </pic:pic>
              </a:graphicData>
            </a:graphic>
          </wp:inline>
        </w:drawing>
      </w:r>
      <w:r w:rsidRPr="0023284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3188335" cy="174625"/>
            <wp:effectExtent l="0" t="0" r="0" b="0"/>
            <wp:docPr id="2" name="Picture 2"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tachifoundation.org/images/spacer.gif"/>
                    <pic:cNvPicPr>
                      <a:picLocks noChangeAspect="1" noChangeArrowheads="1"/>
                    </pic:cNvPicPr>
                  </pic:nvPicPr>
                  <pic:blipFill>
                    <a:blip r:embed="rId5"/>
                    <a:srcRect/>
                    <a:stretch>
                      <a:fillRect/>
                    </a:stretch>
                  </pic:blipFill>
                  <pic:spPr bwMode="auto">
                    <a:xfrm>
                      <a:off x="0" y="0"/>
                      <a:ext cx="3188335" cy="174625"/>
                    </a:xfrm>
                    <a:prstGeom prst="rect">
                      <a:avLst/>
                    </a:prstGeom>
                    <a:noFill/>
                    <a:ln w="9525">
                      <a:noFill/>
                      <a:miter lim="800000"/>
                      <a:headEnd/>
                      <a:tailEnd/>
                    </a:ln>
                  </pic:spPr>
                </pic:pic>
              </a:graphicData>
            </a:graphic>
          </wp:inline>
        </w:drawing>
      </w:r>
      <w:r w:rsidRPr="00232847">
        <w:rPr>
          <w:rFonts w:ascii="Times New Roman" w:eastAsia="Times New Roman" w:hAnsi="Times New Roman" w:cs="Times New Roman"/>
          <w:sz w:val="24"/>
          <w:szCs w:val="24"/>
        </w:rPr>
        <w:br/>
      </w:r>
    </w:p>
    <w:tbl>
      <w:tblPr>
        <w:tblW w:w="5880" w:type="dxa"/>
        <w:tblCellSpacing w:w="0" w:type="dxa"/>
        <w:shd w:val="clear" w:color="auto" w:fill="FFFFFF"/>
        <w:tblCellMar>
          <w:left w:w="0" w:type="dxa"/>
          <w:right w:w="0" w:type="dxa"/>
        </w:tblCellMar>
        <w:tblLook w:val="04A0"/>
      </w:tblPr>
      <w:tblGrid>
        <w:gridCol w:w="210"/>
        <w:gridCol w:w="5069"/>
        <w:gridCol w:w="601"/>
      </w:tblGrid>
      <w:tr w:rsidR="00232847" w:rsidRPr="00232847" w:rsidTr="00232847">
        <w:trPr>
          <w:tblCellSpacing w:w="0" w:type="dxa"/>
        </w:trPr>
        <w:tc>
          <w:tcPr>
            <w:tcW w:w="0" w:type="auto"/>
            <w:gridSpan w:val="2"/>
            <w:shd w:val="clear" w:color="auto" w:fill="FFFFFF"/>
            <w:hideMark/>
          </w:tcPr>
          <w:p w:rsidR="00232847" w:rsidRPr="00232847" w:rsidRDefault="00232847" w:rsidP="00232847">
            <w:pPr>
              <w:spacing w:before="100" w:beforeAutospacing="1" w:after="100" w:afterAutospacing="1"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ELIGIBILITY</w:t>
            </w:r>
          </w:p>
          <w:p w:rsidR="00232847" w:rsidRPr="00232847" w:rsidRDefault="00232847" w:rsidP="00232847">
            <w:pPr>
              <w:spacing w:before="100" w:beforeAutospacing="1" w:after="100" w:afterAutospacing="1"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 xml:space="preserve">Applicants must meet ALL of the following 5 requirements to be eligible for 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sz w:val="24"/>
                <w:szCs w:val="24"/>
              </w:rPr>
              <w:t>:</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635" cy="15875"/>
                  <wp:effectExtent l="0" t="0" r="0" b="0"/>
                  <wp:docPr id="3" name="Picture 3"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itachifoundation.org/images/spacer.gif"/>
                          <pic:cNvPicPr>
                            <a:picLocks noChangeAspect="1" noChangeArrowheads="1"/>
                          </pic:cNvPicPr>
                        </pic:nvPicPr>
                        <pic:blipFill>
                          <a:blip r:embed="rId5"/>
                          <a:srcRect/>
                          <a:stretch>
                            <a:fillRect/>
                          </a:stretch>
                        </pic:blipFill>
                        <pic:spPr bwMode="auto">
                          <a:xfrm>
                            <a:off x="0" y="0"/>
                            <a:ext cx="381635" cy="1587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gridSpan w:val="3"/>
            <w:shd w:val="clear" w:color="auto" w:fill="FFFFFF"/>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875" cy="95250"/>
                  <wp:effectExtent l="0" t="0" r="0" b="0"/>
                  <wp:docPr id="4" name="Picture 4"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hitachifoundation.org/images/spacer.gif"/>
                          <pic:cNvPicPr>
                            <a:picLocks noChangeAspect="1" noChangeArrowheads="1"/>
                          </pic:cNvPicPr>
                        </pic:nvPicPr>
                        <pic:blipFill>
                          <a:blip r:embed="rId5"/>
                          <a:srcRect/>
                          <a:stretch>
                            <a:fillRect/>
                          </a:stretch>
                        </pic:blipFill>
                        <pic:spPr bwMode="auto">
                          <a:xfrm>
                            <a:off x="0" y="0"/>
                            <a:ext cx="15875" cy="95250"/>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5" name="Picture 5"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 xml:space="preserve">Applicants must be at least 18 years old; </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635" cy="15875"/>
                  <wp:effectExtent l="0" t="0" r="0" b="0"/>
                  <wp:docPr id="6" name="Picture 6"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hitachifoundation.org/images/spacer.gif"/>
                          <pic:cNvPicPr>
                            <a:picLocks noChangeAspect="1" noChangeArrowheads="1"/>
                          </pic:cNvPicPr>
                        </pic:nvPicPr>
                        <pic:blipFill>
                          <a:blip r:embed="rId5"/>
                          <a:srcRect/>
                          <a:stretch>
                            <a:fillRect/>
                          </a:stretch>
                        </pic:blipFill>
                        <pic:spPr bwMode="auto">
                          <a:xfrm>
                            <a:off x="0" y="0"/>
                            <a:ext cx="381635" cy="1587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gridSpan w:val="3"/>
            <w:shd w:val="clear" w:color="auto" w:fill="FFFFFF"/>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875" cy="40005"/>
                  <wp:effectExtent l="0" t="0" r="0" b="0"/>
                  <wp:docPr id="7" name="Picture 7"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itachifoundation.org/images/spacer.gif"/>
                          <pic:cNvPicPr>
                            <a:picLocks noChangeAspect="1" noChangeArrowheads="1"/>
                          </pic:cNvPicPr>
                        </pic:nvPicPr>
                        <pic:blipFill>
                          <a:blip r:embed="rId5"/>
                          <a:srcRect/>
                          <a:stretch>
                            <a:fillRect/>
                          </a:stretch>
                        </pic:blipFill>
                        <pic:spPr bwMode="auto">
                          <a:xfrm>
                            <a:off x="0" y="0"/>
                            <a:ext cx="15875" cy="4000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8" name="Picture 8"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Applicants must have been 29 years old or younger when their business began generating revenue;</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635" cy="15875"/>
                  <wp:effectExtent l="0" t="0" r="0" b="0"/>
                  <wp:docPr id="9" name="Picture 9"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hitachifoundation.org/images/spacer.gif"/>
                          <pic:cNvPicPr>
                            <a:picLocks noChangeAspect="1" noChangeArrowheads="1"/>
                          </pic:cNvPicPr>
                        </pic:nvPicPr>
                        <pic:blipFill>
                          <a:blip r:embed="rId5"/>
                          <a:srcRect/>
                          <a:stretch>
                            <a:fillRect/>
                          </a:stretch>
                        </pic:blipFill>
                        <pic:spPr bwMode="auto">
                          <a:xfrm>
                            <a:off x="0" y="0"/>
                            <a:ext cx="381635" cy="1587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gridSpan w:val="3"/>
            <w:shd w:val="clear" w:color="auto" w:fill="FFFFFF"/>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875" cy="40005"/>
                  <wp:effectExtent l="0" t="0" r="0" b="0"/>
                  <wp:docPr id="10" name="Picture 10"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hitachifoundation.org/images/spacer.gif"/>
                          <pic:cNvPicPr>
                            <a:picLocks noChangeAspect="1" noChangeArrowheads="1"/>
                          </pic:cNvPicPr>
                        </pic:nvPicPr>
                        <pic:blipFill>
                          <a:blip r:embed="rId5"/>
                          <a:srcRect/>
                          <a:stretch>
                            <a:fillRect/>
                          </a:stretch>
                        </pic:blipFill>
                        <pic:spPr bwMode="auto">
                          <a:xfrm>
                            <a:off x="0" y="0"/>
                            <a:ext cx="15875" cy="4000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11" name="Picture 11"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 xml:space="preserve">The business must be 1-5 years old and have been generating revenue for a minimum of the past 12 months; </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635" cy="15875"/>
                  <wp:effectExtent l="0" t="0" r="0" b="0"/>
                  <wp:docPr id="12" name="Picture 12"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hitachifoundation.org/images/spacer.gif"/>
                          <pic:cNvPicPr>
                            <a:picLocks noChangeAspect="1" noChangeArrowheads="1"/>
                          </pic:cNvPicPr>
                        </pic:nvPicPr>
                        <pic:blipFill>
                          <a:blip r:embed="rId5"/>
                          <a:srcRect/>
                          <a:stretch>
                            <a:fillRect/>
                          </a:stretch>
                        </pic:blipFill>
                        <pic:spPr bwMode="auto">
                          <a:xfrm>
                            <a:off x="0" y="0"/>
                            <a:ext cx="381635" cy="1587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gridSpan w:val="3"/>
            <w:shd w:val="clear" w:color="auto" w:fill="FFFFFF"/>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875" cy="40005"/>
                  <wp:effectExtent l="0" t="0" r="0" b="0"/>
                  <wp:docPr id="13" name="Picture 13"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hitachifoundation.org/images/spacer.gif"/>
                          <pic:cNvPicPr>
                            <a:picLocks noChangeAspect="1" noChangeArrowheads="1"/>
                          </pic:cNvPicPr>
                        </pic:nvPicPr>
                        <pic:blipFill>
                          <a:blip r:embed="rId5"/>
                          <a:srcRect/>
                          <a:stretch>
                            <a:fillRect/>
                          </a:stretch>
                        </pic:blipFill>
                        <pic:spPr bwMode="auto">
                          <a:xfrm>
                            <a:off x="0" y="0"/>
                            <a:ext cx="15875" cy="4000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14" name="Picture 14"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The applicant established his/her business with the expressed dual purpose of operating a successful business and creating opportunities for low-wealth individuals in America to enhance their economic security</w:t>
            </w:r>
            <w:r w:rsidRPr="00232847">
              <w:rPr>
                <w:rFonts w:ascii="Times New Roman" w:eastAsia="Times New Roman" w:hAnsi="Times New Roman" w:cs="Times New Roman"/>
                <w:b/>
                <w:bCs/>
                <w:sz w:val="24"/>
                <w:szCs w:val="24"/>
              </w:rPr>
              <w:t>*</w:t>
            </w:r>
            <w:r w:rsidRPr="00232847">
              <w:rPr>
                <w:rFonts w:ascii="Times New Roman" w:eastAsia="Times New Roman" w:hAnsi="Times New Roman" w:cs="Times New Roman"/>
                <w:sz w:val="24"/>
                <w:szCs w:val="24"/>
              </w:rPr>
              <w:t xml:space="preserve">; </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635" cy="15875"/>
                  <wp:effectExtent l="0" t="0" r="0" b="0"/>
                  <wp:docPr id="15" name="Picture 15"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hitachifoundation.org/images/spacer.gif"/>
                          <pic:cNvPicPr>
                            <a:picLocks noChangeAspect="1" noChangeArrowheads="1"/>
                          </pic:cNvPicPr>
                        </pic:nvPicPr>
                        <pic:blipFill>
                          <a:blip r:embed="rId5"/>
                          <a:srcRect/>
                          <a:stretch>
                            <a:fillRect/>
                          </a:stretch>
                        </pic:blipFill>
                        <pic:spPr bwMode="auto">
                          <a:xfrm>
                            <a:off x="0" y="0"/>
                            <a:ext cx="381635" cy="1587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gridSpan w:val="3"/>
            <w:shd w:val="clear" w:color="auto" w:fill="FFFFFF"/>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875" cy="40005"/>
                  <wp:effectExtent l="0" t="0" r="0" b="0"/>
                  <wp:docPr id="16" name="Picture 16"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hitachifoundation.org/images/spacer.gif"/>
                          <pic:cNvPicPr>
                            <a:picLocks noChangeAspect="1" noChangeArrowheads="1"/>
                          </pic:cNvPicPr>
                        </pic:nvPicPr>
                        <pic:blipFill>
                          <a:blip r:embed="rId5"/>
                          <a:srcRect/>
                          <a:stretch>
                            <a:fillRect/>
                          </a:stretch>
                        </pic:blipFill>
                        <pic:spPr bwMode="auto">
                          <a:xfrm>
                            <a:off x="0" y="0"/>
                            <a:ext cx="15875" cy="4000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17" name="Picture 17"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The business may be structured as a for-profit or non-profit. If the business is a non-profit, it must depend primarily on an earned-income revenue model and not depend solely on donations and grants.</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635" cy="15875"/>
                  <wp:effectExtent l="0" t="0" r="0" b="0"/>
                  <wp:docPr id="18" name="Picture 18"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hitachifoundation.org/images/spacer.gif"/>
                          <pic:cNvPicPr>
                            <a:picLocks noChangeAspect="1" noChangeArrowheads="1"/>
                          </pic:cNvPicPr>
                        </pic:nvPicPr>
                        <pic:blipFill>
                          <a:blip r:embed="rId5"/>
                          <a:srcRect/>
                          <a:stretch>
                            <a:fillRect/>
                          </a:stretch>
                        </pic:blipFill>
                        <pic:spPr bwMode="auto">
                          <a:xfrm>
                            <a:off x="0" y="0"/>
                            <a:ext cx="381635" cy="1587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gridSpan w:val="3"/>
            <w:shd w:val="clear" w:color="auto" w:fill="FFFFFF"/>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875" cy="191135"/>
                  <wp:effectExtent l="0" t="0" r="0" b="0"/>
                  <wp:docPr id="19" name="Picture 19"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hitachifoundation.org/images/spacer.gif"/>
                          <pic:cNvPicPr>
                            <a:picLocks noChangeAspect="1" noChangeArrowheads="1"/>
                          </pic:cNvPicPr>
                        </pic:nvPicPr>
                        <pic:blipFill>
                          <a:blip r:embed="rId5"/>
                          <a:srcRect/>
                          <a:stretch>
                            <a:fillRect/>
                          </a:stretch>
                        </pic:blipFill>
                        <pic:spPr bwMode="auto">
                          <a:xfrm>
                            <a:off x="0" y="0"/>
                            <a:ext cx="15875" cy="191135"/>
                          </a:xfrm>
                          <a:prstGeom prst="rect">
                            <a:avLst/>
                          </a:prstGeom>
                          <a:noFill/>
                          <a:ln w="9525">
                            <a:noFill/>
                            <a:miter lim="800000"/>
                            <a:headEnd/>
                            <a:tailEnd/>
                          </a:ln>
                        </pic:spPr>
                      </pic:pic>
                    </a:graphicData>
                  </a:graphic>
                </wp:inline>
              </w:drawing>
            </w:r>
          </w:p>
        </w:tc>
      </w:tr>
      <w:tr w:rsidR="00232847" w:rsidRPr="00232847" w:rsidTr="00232847">
        <w:trPr>
          <w:tblCellSpacing w:w="0" w:type="dxa"/>
        </w:trPr>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b/>
                <w:bCs/>
                <w:sz w:val="24"/>
                <w:szCs w:val="24"/>
              </w:rPr>
              <w:t>*</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Strategies that help enhance economic security might include, but are not limited to: management practices including ownership structure, workforce advancement practices, supply-chain protocols, location decisions; developing a product or service that can alter individual and community circumstances such as improving access to education and training protocols, creating greater access to healthy lifestyle and health-care products and services, improving access to asset accumulation such as housing, transportation and marketable credentials for low-wealth individuals.</w:t>
            </w:r>
          </w:p>
        </w:tc>
        <w:tc>
          <w:tcPr>
            <w:tcW w:w="0" w:type="auto"/>
            <w:shd w:val="clear" w:color="auto" w:fill="FFFFFF"/>
            <w:hideMark/>
          </w:tcPr>
          <w:p w:rsidR="00232847" w:rsidRPr="00232847" w:rsidRDefault="00232847" w:rsidP="00232847">
            <w:pPr>
              <w:spacing w:after="0" w:line="240" w:lineRule="auto"/>
              <w:rPr>
                <w:rFonts w:ascii="Times New Roman" w:eastAsia="Times New Roman" w:hAnsi="Times New Roman" w:cs="Times New Roman"/>
                <w:sz w:val="20"/>
                <w:szCs w:val="20"/>
              </w:rPr>
            </w:pPr>
          </w:p>
        </w:tc>
      </w:tr>
    </w:tbl>
    <w:p w:rsidR="00C71D65" w:rsidRDefault="00232847"/>
    <w:p w:rsidR="00232847" w:rsidRPr="00232847" w:rsidRDefault="00232847" w:rsidP="00232847">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55" cy="8255"/>
            <wp:effectExtent l="0" t="0" r="0" b="0"/>
            <wp:docPr id="39" name="Picture 39"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hitachifoundation.org/images/spacer.gif"/>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232847">
        <w:rPr>
          <w:rFonts w:ascii="Times New Roman" w:eastAsia="Times New Roman" w:hAnsi="Times New Roman" w:cs="Times New Roman"/>
          <w:sz w:val="24"/>
          <w:szCs w:val="24"/>
        </w:rPr>
        <w:br/>
      </w:r>
      <w:bookmarkStart w:id="0" w:name="2"/>
      <w:proofErr w:type="spellStart"/>
      <w:r w:rsidRPr="00232847">
        <w:rPr>
          <w:rFonts w:ascii="Times New Roman" w:eastAsia="Times New Roman" w:hAnsi="Times New Roman" w:cs="Times New Roman"/>
          <w:sz w:val="24"/>
          <w:szCs w:val="24"/>
        </w:rPr>
        <w:t>Yoshiyama</w:t>
      </w:r>
      <w:proofErr w:type="spellEnd"/>
      <w:r w:rsidRPr="00232847">
        <w:rPr>
          <w:rFonts w:ascii="Times New Roman" w:eastAsia="Times New Roman" w:hAnsi="Times New Roman" w:cs="Times New Roman"/>
          <w:sz w:val="24"/>
          <w:szCs w:val="24"/>
        </w:rPr>
        <w:t xml:space="preserve"> Program</w:t>
      </w:r>
      <w:bookmarkEnd w:id="0"/>
      <w:r w:rsidRPr="0023284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79375" cy="55880"/>
            <wp:effectExtent l="0" t="0" r="0" b="0"/>
            <wp:docPr id="40" name="Picture 40"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hitachifoundation.org/images/spacer.gif"/>
                    <pic:cNvPicPr>
                      <a:picLocks noChangeAspect="1" noChangeArrowheads="1"/>
                    </pic:cNvPicPr>
                  </pic:nvPicPr>
                  <pic:blipFill>
                    <a:blip r:embed="rId5"/>
                    <a:srcRect/>
                    <a:stretch>
                      <a:fillRect/>
                    </a:stretch>
                  </pic:blipFill>
                  <pic:spPr bwMode="auto">
                    <a:xfrm>
                      <a:off x="0" y="0"/>
                      <a:ext cx="79375" cy="5588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11125" cy="79375"/>
            <wp:effectExtent l="0" t="0" r="0" b="0"/>
            <wp:docPr id="41" name="Picture 41"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hitachifoundation.org/images/spacer.gif"/>
                    <pic:cNvPicPr>
                      <a:picLocks noChangeAspect="1" noChangeArrowheads="1"/>
                    </pic:cNvPicPr>
                  </pic:nvPicPr>
                  <pic:blipFill>
                    <a:blip r:embed="rId5"/>
                    <a:srcRect/>
                    <a:stretch>
                      <a:fillRect/>
                    </a:stretch>
                  </pic:blipFill>
                  <pic:spPr bwMode="auto">
                    <a:xfrm>
                      <a:off x="0" y="0"/>
                      <a:ext cx="111125" cy="79375"/>
                    </a:xfrm>
                    <a:prstGeom prst="rect">
                      <a:avLst/>
                    </a:prstGeom>
                    <a:noFill/>
                    <a:ln w="9525">
                      <a:noFill/>
                      <a:miter lim="800000"/>
                      <a:headEnd/>
                      <a:tailEnd/>
                    </a:ln>
                  </pic:spPr>
                </pic:pic>
              </a:graphicData>
            </a:graphic>
          </wp:inline>
        </w:drawing>
      </w:r>
      <w:r w:rsidRPr="00232847">
        <w:rPr>
          <w:rFonts w:ascii="Times New Roman" w:eastAsia="Times New Roman" w:hAnsi="Times New Roman" w:cs="Times New Roman"/>
          <w:sz w:val="24"/>
          <w:szCs w:val="24"/>
        </w:rPr>
        <w:br/>
      </w:r>
      <w:bookmarkStart w:id="1" w:name="2a"/>
      <w:proofErr w:type="gramStart"/>
      <w:r w:rsidRPr="00232847">
        <w:rPr>
          <w:rFonts w:ascii="Times New Roman" w:eastAsia="Times New Roman" w:hAnsi="Times New Roman" w:cs="Times New Roman"/>
          <w:b/>
          <w:bCs/>
          <w:sz w:val="24"/>
          <w:szCs w:val="24"/>
        </w:rPr>
        <w:t>Who</w:t>
      </w:r>
      <w:proofErr w:type="gramEnd"/>
      <w:r w:rsidRPr="00232847">
        <w:rPr>
          <w:rFonts w:ascii="Times New Roman" w:eastAsia="Times New Roman" w:hAnsi="Times New Roman" w:cs="Times New Roman"/>
          <w:b/>
          <w:bCs/>
          <w:sz w:val="24"/>
          <w:szCs w:val="24"/>
        </w:rPr>
        <w:t xml:space="preserve"> is Mr. </w:t>
      </w:r>
      <w:proofErr w:type="spellStart"/>
      <w:r w:rsidRPr="00232847">
        <w:rPr>
          <w:rFonts w:ascii="Times New Roman" w:eastAsia="Times New Roman" w:hAnsi="Times New Roman" w:cs="Times New Roman"/>
          <w:b/>
          <w:bCs/>
          <w:sz w:val="24"/>
          <w:szCs w:val="24"/>
        </w:rPr>
        <w:t>Hirokichi</w:t>
      </w:r>
      <w:proofErr w:type="spellEnd"/>
      <w:r w:rsidRPr="00232847">
        <w:rPr>
          <w:rFonts w:ascii="Times New Roman" w:eastAsia="Times New Roman" w:hAnsi="Times New Roman" w:cs="Times New Roman"/>
          <w:b/>
          <w:bCs/>
          <w:sz w:val="24"/>
          <w:szCs w:val="24"/>
        </w:rPr>
        <w:t xml:space="preserve"> </w:t>
      </w:r>
      <w:proofErr w:type="spellStart"/>
      <w:r w:rsidRPr="00232847">
        <w:rPr>
          <w:rFonts w:ascii="Times New Roman" w:eastAsia="Times New Roman" w:hAnsi="Times New Roman" w:cs="Times New Roman"/>
          <w:b/>
          <w:bCs/>
          <w:sz w:val="24"/>
          <w:szCs w:val="24"/>
        </w:rPr>
        <w:t>Yoshiyama</w:t>
      </w:r>
      <w:proofErr w:type="spellEnd"/>
      <w:r w:rsidRPr="00232847">
        <w:rPr>
          <w:rFonts w:ascii="Times New Roman" w:eastAsia="Times New Roman" w:hAnsi="Times New Roman" w:cs="Times New Roman"/>
          <w:b/>
          <w:bCs/>
          <w:sz w:val="24"/>
          <w:szCs w:val="24"/>
        </w:rPr>
        <w:t xml:space="preserve"> (1911-2007)?</w:t>
      </w:r>
      <w:bookmarkEnd w:id="1"/>
      <w:r w:rsidRPr="00232847">
        <w:rPr>
          <w:rFonts w:ascii="Times New Roman" w:eastAsia="Times New Roman" w:hAnsi="Times New Roman" w:cs="Times New Roman"/>
          <w:sz w:val="24"/>
          <w:szCs w:val="24"/>
        </w:rPr>
        <w:t xml:space="preserve"> </w:t>
      </w:r>
      <w:r w:rsidRPr="00232847">
        <w:rPr>
          <w:rFonts w:ascii="Times New Roman" w:eastAsia="Times New Roman" w:hAnsi="Times New Roman" w:cs="Times New Roman"/>
          <w:sz w:val="24"/>
          <w:szCs w:val="24"/>
        </w:rPr>
        <w:br/>
        <w:t xml:space="preserve">Mr. </w:t>
      </w:r>
      <w:proofErr w:type="spellStart"/>
      <w:r w:rsidRPr="00232847">
        <w:rPr>
          <w:rFonts w:ascii="Times New Roman" w:eastAsia="Times New Roman" w:hAnsi="Times New Roman" w:cs="Times New Roman"/>
          <w:sz w:val="24"/>
          <w:szCs w:val="24"/>
        </w:rPr>
        <w:t>Hirokichi</w:t>
      </w:r>
      <w:proofErr w:type="spellEnd"/>
      <w:r w:rsidRPr="00232847">
        <w:rPr>
          <w:rFonts w:ascii="Times New Roman" w:eastAsia="Times New Roman" w:hAnsi="Times New Roman" w:cs="Times New Roman"/>
          <w:sz w:val="24"/>
          <w:szCs w:val="24"/>
        </w:rPr>
        <w:t xml:space="preserve"> </w:t>
      </w:r>
      <w:proofErr w:type="spellStart"/>
      <w:r w:rsidRPr="00232847">
        <w:rPr>
          <w:rFonts w:ascii="Times New Roman" w:eastAsia="Times New Roman" w:hAnsi="Times New Roman" w:cs="Times New Roman"/>
          <w:sz w:val="24"/>
          <w:szCs w:val="24"/>
        </w:rPr>
        <w:t>Yoshiyama</w:t>
      </w:r>
      <w:proofErr w:type="spellEnd"/>
      <w:r w:rsidRPr="00232847">
        <w:rPr>
          <w:rFonts w:ascii="Times New Roman" w:eastAsia="Times New Roman" w:hAnsi="Times New Roman" w:cs="Times New Roman"/>
          <w:sz w:val="24"/>
          <w:szCs w:val="24"/>
        </w:rPr>
        <w:t xml:space="preserve"> was Chairman of Hitachi, Ltd. in the 1980s and was </w:t>
      </w:r>
      <w:proofErr w:type="gramStart"/>
      <w:r w:rsidRPr="00232847">
        <w:rPr>
          <w:rFonts w:ascii="Times New Roman" w:eastAsia="Times New Roman" w:hAnsi="Times New Roman" w:cs="Times New Roman"/>
          <w:sz w:val="24"/>
          <w:szCs w:val="24"/>
        </w:rPr>
        <w:t>key</w:t>
      </w:r>
      <w:proofErr w:type="gramEnd"/>
      <w:r w:rsidRPr="00232847">
        <w:rPr>
          <w:rFonts w:ascii="Times New Roman" w:eastAsia="Times New Roman" w:hAnsi="Times New Roman" w:cs="Times New Roman"/>
          <w:sz w:val="24"/>
          <w:szCs w:val="24"/>
        </w:rPr>
        <w:t xml:space="preserve"> in the </w:t>
      </w:r>
      <w:r w:rsidRPr="00232847">
        <w:rPr>
          <w:rFonts w:ascii="Times New Roman" w:eastAsia="Times New Roman" w:hAnsi="Times New Roman" w:cs="Times New Roman"/>
          <w:sz w:val="24"/>
          <w:szCs w:val="24"/>
        </w:rPr>
        <w:lastRenderedPageBreak/>
        <w:t xml:space="preserve">creation of The Hitachi Foundation. Upon his retirement in 1987 he donated personal funds from his pension to the Foundation. These funds seeded the </w:t>
      </w:r>
      <w:proofErr w:type="spellStart"/>
      <w:r w:rsidRPr="00232847">
        <w:rPr>
          <w:rFonts w:ascii="Times New Roman" w:eastAsia="Times New Roman" w:hAnsi="Times New Roman" w:cs="Times New Roman"/>
          <w:sz w:val="24"/>
          <w:szCs w:val="24"/>
        </w:rPr>
        <w:t>Yoshiyama</w:t>
      </w:r>
      <w:proofErr w:type="spellEnd"/>
      <w:r w:rsidRPr="00232847">
        <w:rPr>
          <w:rFonts w:ascii="Times New Roman" w:eastAsia="Times New Roman" w:hAnsi="Times New Roman" w:cs="Times New Roman"/>
          <w:sz w:val="24"/>
          <w:szCs w:val="24"/>
        </w:rPr>
        <w:t xml:space="preserve"> Award for Exemplary Service to the Community, which the Foundation operated from 1988-2008. </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2" w:name="2b"/>
      <w:r w:rsidRPr="00232847">
        <w:rPr>
          <w:rFonts w:ascii="Times New Roman" w:eastAsia="Times New Roman" w:hAnsi="Times New Roman" w:cs="Times New Roman"/>
          <w:b/>
          <w:bCs/>
          <w:sz w:val="24"/>
          <w:szCs w:val="24"/>
        </w:rPr>
        <w:t xml:space="preserve">What is 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b/>
          <w:bCs/>
          <w:sz w:val="24"/>
          <w:szCs w:val="24"/>
        </w:rPr>
        <w:t xml:space="preserve"> and how does it differ from the former </w:t>
      </w:r>
      <w:proofErr w:type="spellStart"/>
      <w:r w:rsidRPr="00232847">
        <w:rPr>
          <w:rFonts w:ascii="Times New Roman" w:eastAsia="Times New Roman" w:hAnsi="Times New Roman" w:cs="Times New Roman"/>
          <w:b/>
          <w:bCs/>
          <w:sz w:val="24"/>
          <w:szCs w:val="24"/>
        </w:rPr>
        <w:t>Yoshiyama</w:t>
      </w:r>
      <w:proofErr w:type="spellEnd"/>
      <w:r w:rsidRPr="00232847">
        <w:rPr>
          <w:rFonts w:ascii="Times New Roman" w:eastAsia="Times New Roman" w:hAnsi="Times New Roman" w:cs="Times New Roman"/>
          <w:b/>
          <w:bCs/>
          <w:sz w:val="24"/>
          <w:szCs w:val="24"/>
        </w:rPr>
        <w:t xml:space="preserve"> Award for Exemplary Service to the Community?</w:t>
      </w:r>
      <w:bookmarkEnd w:id="2"/>
      <w:r w:rsidRPr="00232847">
        <w:rPr>
          <w:rFonts w:ascii="Times New Roman" w:eastAsia="Times New Roman" w:hAnsi="Times New Roman" w:cs="Times New Roman"/>
          <w:sz w:val="24"/>
          <w:szCs w:val="24"/>
        </w:rPr>
        <w:t xml:space="preserve"> </w:t>
      </w:r>
      <w:r w:rsidRPr="00232847">
        <w:rPr>
          <w:rFonts w:ascii="Times New Roman" w:eastAsia="Times New Roman" w:hAnsi="Times New Roman" w:cs="Times New Roman"/>
          <w:sz w:val="24"/>
          <w:szCs w:val="24"/>
        </w:rPr>
        <w:br/>
        <w:t xml:space="preserve">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sz w:val="24"/>
          <w:szCs w:val="24"/>
        </w:rPr>
        <w:t xml:space="preserve"> aims to discover inspiring young entrepreneurs operating businesses in the United States that are both financially viable and supporting low-wealth individuals by addressing barriers to economic security in America. This approach differs from the former </w:t>
      </w:r>
      <w:proofErr w:type="spellStart"/>
      <w:r w:rsidRPr="00232847">
        <w:rPr>
          <w:rFonts w:ascii="Times New Roman" w:eastAsia="Times New Roman" w:hAnsi="Times New Roman" w:cs="Times New Roman"/>
          <w:sz w:val="24"/>
          <w:szCs w:val="24"/>
        </w:rPr>
        <w:t>Yoshiyama</w:t>
      </w:r>
      <w:proofErr w:type="spellEnd"/>
      <w:r w:rsidRPr="00232847">
        <w:rPr>
          <w:rFonts w:ascii="Times New Roman" w:eastAsia="Times New Roman" w:hAnsi="Times New Roman" w:cs="Times New Roman"/>
          <w:sz w:val="24"/>
          <w:szCs w:val="24"/>
        </w:rPr>
        <w:t xml:space="preserve"> Award for Exemplary Service to the Community in that it moves beyond honoring young people for the changes they have made and instead, recognizes and rewards young people for the changes they are making, now and into the future. It also differs in that it focuses the award on young entrepreneurs and their quest to help low-wealth individuals in a targeted community in the United States overcome one or more barriers to economic security, instead of recognizing high school seniors' broader social change efforts. This change fully integrates 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sz w:val="24"/>
          <w:szCs w:val="24"/>
        </w:rPr>
        <w:t xml:space="preserve"> with the mission and strategic focus of the Foundation. </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3" w:name="2c"/>
      <w:r w:rsidRPr="00232847">
        <w:rPr>
          <w:rFonts w:ascii="Times New Roman" w:eastAsia="Times New Roman" w:hAnsi="Times New Roman" w:cs="Times New Roman"/>
          <w:b/>
          <w:bCs/>
          <w:sz w:val="24"/>
          <w:szCs w:val="24"/>
        </w:rPr>
        <w:t>How many award recipients will be selected each year?</w:t>
      </w:r>
      <w:bookmarkEnd w:id="3"/>
      <w:r w:rsidRPr="00232847">
        <w:rPr>
          <w:rFonts w:ascii="Times New Roman" w:eastAsia="Times New Roman" w:hAnsi="Times New Roman" w:cs="Times New Roman"/>
          <w:sz w:val="24"/>
          <w:szCs w:val="24"/>
        </w:rPr>
        <w:t xml:space="preserve"> </w:t>
      </w:r>
      <w:r w:rsidRPr="00232847">
        <w:rPr>
          <w:rFonts w:ascii="Times New Roman" w:eastAsia="Times New Roman" w:hAnsi="Times New Roman" w:cs="Times New Roman"/>
          <w:sz w:val="24"/>
          <w:szCs w:val="24"/>
        </w:rPr>
        <w:br/>
        <w:t xml:space="preserve">We anticipate selecting up to 6 entrepreneurs initially and may consider increasing the number to 10 in the future. </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4" w:name="2d"/>
      <w:r w:rsidRPr="00232847">
        <w:rPr>
          <w:rFonts w:ascii="Times New Roman" w:eastAsia="Times New Roman" w:hAnsi="Times New Roman" w:cs="Times New Roman"/>
          <w:b/>
          <w:bCs/>
          <w:sz w:val="24"/>
          <w:szCs w:val="24"/>
        </w:rPr>
        <w:t>What does the Award include?</w:t>
      </w:r>
      <w:bookmarkEnd w:id="4"/>
      <w:r w:rsidRPr="00232847">
        <w:rPr>
          <w:rFonts w:ascii="Times New Roman" w:eastAsia="Times New Roman" w:hAnsi="Times New Roman" w:cs="Times New Roman"/>
          <w:sz w:val="24"/>
          <w:szCs w:val="24"/>
        </w:rPr>
        <w:br/>
        <w:t>The Award includes a cash prize of up to $50,000 total for two years. In addition, The Foundation will provide entrepreneurs access to technical assistance and will support a peer learning/mentoring network. Examples of technical assistance include, but are not limited to: developing and refining a marketing plan; financial management; leadership training; general management; and HR policies.</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5" w:name="2e"/>
      <w:r w:rsidRPr="00232847">
        <w:rPr>
          <w:rFonts w:ascii="Times New Roman" w:eastAsia="Times New Roman" w:hAnsi="Times New Roman" w:cs="Times New Roman"/>
          <w:b/>
          <w:bCs/>
          <w:sz w:val="24"/>
          <w:szCs w:val="24"/>
        </w:rPr>
        <w:t>Why is there an age limit?</w:t>
      </w:r>
      <w:bookmarkEnd w:id="5"/>
      <w:r w:rsidRPr="00232847">
        <w:rPr>
          <w:rFonts w:ascii="Times New Roman" w:eastAsia="Times New Roman" w:hAnsi="Times New Roman" w:cs="Times New Roman"/>
          <w:sz w:val="24"/>
          <w:szCs w:val="24"/>
        </w:rPr>
        <w:br/>
        <w:t xml:space="preserve">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sz w:val="24"/>
          <w:szCs w:val="24"/>
        </w:rPr>
        <w:t xml:space="preserve"> aims to discover and support the next generation of young business leaders as part of the overall Foundation strategic plan. While the Foundation recognizes business leaders of all ages are forging new paths in terms of social-benefit business, the </w:t>
      </w:r>
      <w:proofErr w:type="spellStart"/>
      <w:r w:rsidRPr="00232847">
        <w:rPr>
          <w:rFonts w:ascii="Times New Roman" w:eastAsia="Times New Roman" w:hAnsi="Times New Roman" w:cs="Times New Roman"/>
          <w:sz w:val="24"/>
          <w:szCs w:val="24"/>
        </w:rPr>
        <w:t>Yoshiyama</w:t>
      </w:r>
      <w:proofErr w:type="spellEnd"/>
      <w:r w:rsidRPr="00232847">
        <w:rPr>
          <w:rFonts w:ascii="Times New Roman" w:eastAsia="Times New Roman" w:hAnsi="Times New Roman" w:cs="Times New Roman"/>
          <w:sz w:val="24"/>
          <w:szCs w:val="24"/>
        </w:rPr>
        <w:t xml:space="preserve"> name has a two-decade history of honoring young people. Maintaining an age limit with a focus on social-benefit business both honors the legacy of this program while meeting current mission goals.</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6" w:name="2f"/>
      <w:r w:rsidRPr="00232847">
        <w:rPr>
          <w:rFonts w:ascii="Times New Roman" w:eastAsia="Times New Roman" w:hAnsi="Times New Roman" w:cs="Times New Roman"/>
          <w:b/>
          <w:bCs/>
          <w:sz w:val="24"/>
          <w:szCs w:val="24"/>
        </w:rPr>
        <w:t>Am I still eligible if my business is not yet generating revenue?</w:t>
      </w:r>
      <w:bookmarkEnd w:id="6"/>
      <w:r w:rsidRPr="00232847">
        <w:rPr>
          <w:rFonts w:ascii="Times New Roman" w:eastAsia="Times New Roman" w:hAnsi="Times New Roman" w:cs="Times New Roman"/>
          <w:sz w:val="24"/>
          <w:szCs w:val="24"/>
        </w:rPr>
        <w:br/>
        <w:t xml:space="preserve">No. 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sz w:val="24"/>
          <w:szCs w:val="24"/>
        </w:rPr>
        <w:t xml:space="preserve"> is focused on businesses that are 1-5 years old and have been generating revenue for a minimum of the past 12 months. You are encouraged to apply to 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sz w:val="24"/>
          <w:szCs w:val="24"/>
        </w:rPr>
        <w:t xml:space="preserve"> in future years after your business has reached that milestone.</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7" w:name="2g"/>
      <w:r w:rsidRPr="00232847">
        <w:rPr>
          <w:rFonts w:ascii="Times New Roman" w:eastAsia="Times New Roman" w:hAnsi="Times New Roman" w:cs="Times New Roman"/>
          <w:b/>
          <w:bCs/>
          <w:sz w:val="24"/>
          <w:szCs w:val="24"/>
        </w:rPr>
        <w:t xml:space="preserve">How are the mentors matched with the selected entrepreneurs? </w:t>
      </w:r>
      <w:bookmarkEnd w:id="7"/>
      <w:r w:rsidRPr="00232847">
        <w:rPr>
          <w:rFonts w:ascii="Times New Roman" w:eastAsia="Times New Roman" w:hAnsi="Times New Roman" w:cs="Times New Roman"/>
          <w:sz w:val="24"/>
          <w:szCs w:val="24"/>
        </w:rPr>
        <w:br/>
        <w:t xml:space="preserve">Mentors are matched with selected entrepreneurs based on the entrepreneur's business needs and the mentor's expertise and interest. </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8" w:name="2h"/>
      <w:r w:rsidRPr="00232847">
        <w:rPr>
          <w:rFonts w:ascii="Times New Roman" w:eastAsia="Times New Roman" w:hAnsi="Times New Roman" w:cs="Times New Roman"/>
          <w:b/>
          <w:bCs/>
          <w:sz w:val="24"/>
          <w:szCs w:val="24"/>
        </w:rPr>
        <w:t xml:space="preserve">My business is located in the United States but my primary community is international — </w:t>
      </w:r>
      <w:proofErr w:type="gramStart"/>
      <w:r w:rsidRPr="00232847">
        <w:rPr>
          <w:rFonts w:ascii="Times New Roman" w:eastAsia="Times New Roman" w:hAnsi="Times New Roman" w:cs="Times New Roman"/>
          <w:b/>
          <w:bCs/>
          <w:sz w:val="24"/>
          <w:szCs w:val="24"/>
        </w:rPr>
        <w:lastRenderedPageBreak/>
        <w:t>am</w:t>
      </w:r>
      <w:proofErr w:type="gramEnd"/>
      <w:r w:rsidRPr="00232847">
        <w:rPr>
          <w:rFonts w:ascii="Times New Roman" w:eastAsia="Times New Roman" w:hAnsi="Times New Roman" w:cs="Times New Roman"/>
          <w:b/>
          <w:bCs/>
          <w:sz w:val="24"/>
          <w:szCs w:val="24"/>
        </w:rPr>
        <w:t xml:space="preserve"> I still eligible to apply?</w:t>
      </w:r>
      <w:bookmarkEnd w:id="8"/>
      <w:r w:rsidRPr="00232847">
        <w:rPr>
          <w:rFonts w:ascii="Times New Roman" w:eastAsia="Times New Roman" w:hAnsi="Times New Roman" w:cs="Times New Roman"/>
          <w:sz w:val="24"/>
          <w:szCs w:val="24"/>
        </w:rPr>
        <w:t xml:space="preserve"> </w:t>
      </w:r>
      <w:r w:rsidRPr="00232847">
        <w:rPr>
          <w:rFonts w:ascii="Times New Roman" w:eastAsia="Times New Roman" w:hAnsi="Times New Roman" w:cs="Times New Roman"/>
          <w:sz w:val="24"/>
          <w:szCs w:val="24"/>
        </w:rPr>
        <w:br/>
        <w:t>No. Both the business location and the primary beneficiaries must be US-based.</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9" w:name="2i"/>
      <w:r w:rsidRPr="00232847">
        <w:rPr>
          <w:rFonts w:ascii="Times New Roman" w:eastAsia="Times New Roman" w:hAnsi="Times New Roman" w:cs="Times New Roman"/>
          <w:b/>
          <w:bCs/>
          <w:sz w:val="24"/>
          <w:szCs w:val="24"/>
        </w:rPr>
        <w:t xml:space="preserve">I operate a social-benefit business with </w:t>
      </w:r>
      <w:proofErr w:type="gramStart"/>
      <w:r w:rsidRPr="00232847">
        <w:rPr>
          <w:rFonts w:ascii="Times New Roman" w:eastAsia="Times New Roman" w:hAnsi="Times New Roman" w:cs="Times New Roman"/>
          <w:b/>
          <w:bCs/>
          <w:sz w:val="24"/>
          <w:szCs w:val="24"/>
        </w:rPr>
        <w:t>an intent</w:t>
      </w:r>
      <w:proofErr w:type="gramEnd"/>
      <w:r w:rsidRPr="00232847">
        <w:rPr>
          <w:rFonts w:ascii="Times New Roman" w:eastAsia="Times New Roman" w:hAnsi="Times New Roman" w:cs="Times New Roman"/>
          <w:b/>
          <w:bCs/>
          <w:sz w:val="24"/>
          <w:szCs w:val="24"/>
        </w:rPr>
        <w:t xml:space="preserve"> other than helping low-wealth individuals address barriers to economic security. Am I still eligible to apply?</w:t>
      </w:r>
      <w:bookmarkEnd w:id="9"/>
      <w:r w:rsidRPr="00232847">
        <w:rPr>
          <w:rFonts w:ascii="Times New Roman" w:eastAsia="Times New Roman" w:hAnsi="Times New Roman" w:cs="Times New Roman"/>
          <w:sz w:val="24"/>
          <w:szCs w:val="24"/>
        </w:rPr>
        <w:t xml:space="preserve"> </w:t>
      </w:r>
      <w:r w:rsidRPr="00232847">
        <w:rPr>
          <w:rFonts w:ascii="Times New Roman" w:eastAsia="Times New Roman" w:hAnsi="Times New Roman" w:cs="Times New Roman"/>
          <w:sz w:val="24"/>
          <w:szCs w:val="24"/>
        </w:rPr>
        <w:br/>
        <w:t xml:space="preserve">No. 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r w:rsidRPr="00232847">
        <w:rPr>
          <w:rFonts w:ascii="Times New Roman" w:eastAsia="Times New Roman" w:hAnsi="Times New Roman" w:cs="Times New Roman"/>
          <w:sz w:val="24"/>
          <w:szCs w:val="24"/>
        </w:rPr>
        <w:t xml:space="preserve"> is focused solely on low-wealth individuals in America. You may be eligible if the business benefits low-wealth individuals and another social purpose simultaneously. For example, a business that improves low-income housing energy efficiency might have a beneficial result for low-wealth individuals and the environment.</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10" w:name="2j"/>
      <w:r w:rsidRPr="00232847">
        <w:rPr>
          <w:rFonts w:ascii="Times New Roman" w:eastAsia="Times New Roman" w:hAnsi="Times New Roman" w:cs="Times New Roman"/>
          <w:b/>
          <w:bCs/>
          <w:sz w:val="24"/>
          <w:szCs w:val="24"/>
        </w:rPr>
        <w:t>My business achieves its social mission by donating a portion of its profits to philanthropic causes. Am I eligible to apply?</w:t>
      </w:r>
      <w:bookmarkEnd w:id="10"/>
      <w:r w:rsidRPr="00232847">
        <w:rPr>
          <w:rFonts w:ascii="Times New Roman" w:eastAsia="Times New Roman" w:hAnsi="Times New Roman" w:cs="Times New Roman"/>
          <w:sz w:val="24"/>
          <w:szCs w:val="24"/>
        </w:rPr>
        <w:t xml:space="preserve"> </w:t>
      </w:r>
      <w:r w:rsidRPr="00232847">
        <w:rPr>
          <w:rFonts w:ascii="Times New Roman" w:eastAsia="Times New Roman" w:hAnsi="Times New Roman" w:cs="Times New Roman"/>
          <w:sz w:val="24"/>
          <w:szCs w:val="24"/>
        </w:rPr>
        <w:br/>
        <w:t>No. While implementing a general philanthropic response to community issues is valuable and valid, this Program aims to move beyond traditional corporate giving and philanthropy. Businesses that have this as their primary vehicle for community change would not be eligible to apply.</w:t>
      </w:r>
    </w:p>
    <w:p w:rsidR="00232847" w:rsidRPr="00232847" w:rsidRDefault="00232847" w:rsidP="00232847">
      <w:pPr>
        <w:spacing w:after="0" w:line="240" w:lineRule="auto"/>
        <w:jc w:val="right"/>
        <w:rPr>
          <w:rFonts w:ascii="Times New Roman" w:eastAsia="Times New Roman" w:hAnsi="Times New Roman" w:cs="Times New Roman"/>
          <w:sz w:val="24"/>
          <w:szCs w:val="24"/>
        </w:rPr>
      </w:pPr>
      <w:hyperlink r:id="rId7" w:anchor="top" w:history="1">
        <w:proofErr w:type="gramStart"/>
        <w:r w:rsidRPr="00232847">
          <w:rPr>
            <w:rFonts w:ascii="Times New Roman" w:eastAsia="Times New Roman" w:hAnsi="Times New Roman" w:cs="Times New Roman"/>
            <w:b/>
            <w:bCs/>
            <w:color w:val="0000FF"/>
            <w:sz w:val="24"/>
            <w:szCs w:val="24"/>
            <w:u w:val="single"/>
          </w:rPr>
          <w:t>back</w:t>
        </w:r>
        <w:proofErr w:type="gramEnd"/>
        <w:r w:rsidRPr="00232847">
          <w:rPr>
            <w:rFonts w:ascii="Times New Roman" w:eastAsia="Times New Roman" w:hAnsi="Times New Roman" w:cs="Times New Roman"/>
            <w:b/>
            <w:bCs/>
            <w:color w:val="0000FF"/>
            <w:sz w:val="24"/>
            <w:szCs w:val="24"/>
            <w:u w:val="single"/>
          </w:rPr>
          <w:t xml:space="preserve"> to top</w:t>
        </w:r>
      </w:hyperlink>
    </w:p>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5pt;height:.65pt"/>
        </w:pict>
      </w:r>
      <w:r>
        <w:rPr>
          <w:rFonts w:ascii="Times New Roman" w:eastAsia="Times New Roman" w:hAnsi="Times New Roman" w:cs="Times New Roman"/>
          <w:noProof/>
          <w:sz w:val="24"/>
          <w:szCs w:val="24"/>
        </w:rPr>
        <w:drawing>
          <wp:inline distT="0" distB="0" distL="0" distR="0">
            <wp:extent cx="15875" cy="55880"/>
            <wp:effectExtent l="0" t="0" r="0" b="0"/>
            <wp:docPr id="43" name="Picture 43"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hitachifoundation.org/images/spacer.gif"/>
                    <pic:cNvPicPr>
                      <a:picLocks noChangeAspect="1" noChangeArrowheads="1"/>
                    </pic:cNvPicPr>
                  </pic:nvPicPr>
                  <pic:blipFill>
                    <a:blip r:embed="rId5"/>
                    <a:srcRect/>
                    <a:stretch>
                      <a:fillRect/>
                    </a:stretch>
                  </pic:blipFill>
                  <pic:spPr bwMode="auto">
                    <a:xfrm>
                      <a:off x="0" y="0"/>
                      <a:ext cx="15875" cy="5588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79375" cy="79375"/>
            <wp:effectExtent l="0" t="0" r="0" b="0"/>
            <wp:docPr id="44" name="Picture 44"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hitachifoundation.org/images/spacer.gif"/>
                    <pic:cNvPicPr>
                      <a:picLocks noChangeAspect="1" noChangeArrowheads="1"/>
                    </pic:cNvPicPr>
                  </pic:nvPicPr>
                  <pic:blipFill>
                    <a:blip r:embed="rId5"/>
                    <a:srcRect/>
                    <a:stretch>
                      <a:fillRect/>
                    </a:stretch>
                  </pic:blipFill>
                  <pic:spPr bwMode="auto">
                    <a:xfrm>
                      <a:off x="0" y="0"/>
                      <a:ext cx="79375" cy="793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74625" cy="79375"/>
            <wp:effectExtent l="0" t="0" r="0" b="0"/>
            <wp:docPr id="45" name="Picture 45"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hitachifoundation.org/images/spacer.gif"/>
                    <pic:cNvPicPr>
                      <a:picLocks noChangeAspect="1" noChangeArrowheads="1"/>
                    </pic:cNvPicPr>
                  </pic:nvPicPr>
                  <pic:blipFill>
                    <a:blip r:embed="rId5"/>
                    <a:srcRect/>
                    <a:stretch>
                      <a:fillRect/>
                    </a:stretch>
                  </pic:blipFill>
                  <pic:spPr bwMode="auto">
                    <a:xfrm>
                      <a:off x="0" y="0"/>
                      <a:ext cx="174625" cy="793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255" cy="8255"/>
            <wp:effectExtent l="0" t="0" r="0" b="0"/>
            <wp:docPr id="46" name="Picture 46"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hitachifoundation.org/images/spacer.gif"/>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255" cy="8255"/>
            <wp:effectExtent l="0" t="0" r="0" b="0"/>
            <wp:docPr id="47" name="Picture 47"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hitachifoundation.org/images/spacer.gif"/>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232847">
        <w:rPr>
          <w:rFonts w:ascii="Times New Roman" w:eastAsia="Times New Roman" w:hAnsi="Times New Roman" w:cs="Times New Roman"/>
          <w:sz w:val="24"/>
          <w:szCs w:val="24"/>
        </w:rPr>
        <w:br/>
      </w:r>
      <w:bookmarkStart w:id="11" w:name="3"/>
      <w:r w:rsidRPr="00232847">
        <w:rPr>
          <w:rFonts w:ascii="Times New Roman" w:eastAsia="Times New Roman" w:hAnsi="Times New Roman" w:cs="Times New Roman"/>
          <w:sz w:val="24"/>
          <w:szCs w:val="24"/>
        </w:rPr>
        <w:t>Examples</w:t>
      </w:r>
      <w:bookmarkEnd w:id="11"/>
      <w:r w:rsidRPr="0023284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79375" cy="55880"/>
            <wp:effectExtent l="0" t="0" r="0" b="0"/>
            <wp:docPr id="48" name="Picture 48"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hitachifoundation.org/images/spacer.gif"/>
                    <pic:cNvPicPr>
                      <a:picLocks noChangeAspect="1" noChangeArrowheads="1"/>
                    </pic:cNvPicPr>
                  </pic:nvPicPr>
                  <pic:blipFill>
                    <a:blip r:embed="rId5"/>
                    <a:srcRect/>
                    <a:stretch>
                      <a:fillRect/>
                    </a:stretch>
                  </pic:blipFill>
                  <pic:spPr bwMode="auto">
                    <a:xfrm>
                      <a:off x="0" y="0"/>
                      <a:ext cx="79375" cy="5588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11125" cy="79375"/>
            <wp:effectExtent l="0" t="0" r="0" b="0"/>
            <wp:docPr id="49" name="Picture 49"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hitachifoundation.org/images/spacer.gif"/>
                    <pic:cNvPicPr>
                      <a:picLocks noChangeAspect="1" noChangeArrowheads="1"/>
                    </pic:cNvPicPr>
                  </pic:nvPicPr>
                  <pic:blipFill>
                    <a:blip r:embed="rId5"/>
                    <a:srcRect/>
                    <a:stretch>
                      <a:fillRect/>
                    </a:stretch>
                  </pic:blipFill>
                  <pic:spPr bwMode="auto">
                    <a:xfrm>
                      <a:off x="0" y="0"/>
                      <a:ext cx="111125" cy="79375"/>
                    </a:xfrm>
                    <a:prstGeom prst="rect">
                      <a:avLst/>
                    </a:prstGeom>
                    <a:noFill/>
                    <a:ln w="9525">
                      <a:noFill/>
                      <a:miter lim="800000"/>
                      <a:headEnd/>
                      <a:tailEnd/>
                    </a:ln>
                  </pic:spPr>
                </pic:pic>
              </a:graphicData>
            </a:graphic>
          </wp:inline>
        </w:drawing>
      </w:r>
    </w:p>
    <w:p w:rsidR="00232847" w:rsidRPr="00232847" w:rsidRDefault="00232847" w:rsidP="00232847">
      <w:pPr>
        <w:spacing w:before="100" w:beforeAutospacing="1" w:after="100" w:afterAutospacing="1"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Please note</w:t>
      </w:r>
      <w:proofErr w:type="gramStart"/>
      <w:r w:rsidRPr="00232847">
        <w:rPr>
          <w:rFonts w:ascii="Times New Roman" w:eastAsia="Times New Roman" w:hAnsi="Times New Roman" w:cs="Times New Roman"/>
          <w:sz w:val="24"/>
          <w:szCs w:val="24"/>
        </w:rPr>
        <w:t>,</w:t>
      </w:r>
      <w:proofErr w:type="gramEnd"/>
      <w:r w:rsidRPr="00232847">
        <w:rPr>
          <w:rFonts w:ascii="Times New Roman" w:eastAsia="Times New Roman" w:hAnsi="Times New Roman" w:cs="Times New Roman"/>
          <w:sz w:val="24"/>
          <w:szCs w:val="24"/>
        </w:rPr>
        <w:t xml:space="preserve"> these examples are for general guidance only. They are not meant to limit your application or business strategy. We expect that there are businesses operating well outside of the industries and approaches referenced below.</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12" w:name="3a"/>
      <w:r w:rsidRPr="00232847">
        <w:rPr>
          <w:rFonts w:ascii="Times New Roman" w:eastAsia="Times New Roman" w:hAnsi="Times New Roman" w:cs="Times New Roman"/>
          <w:b/>
          <w:bCs/>
          <w:sz w:val="24"/>
          <w:szCs w:val="24"/>
        </w:rPr>
        <w:t xml:space="preserve">What are examples of potential businesses that would be eligible for the </w:t>
      </w:r>
      <w:proofErr w:type="spellStart"/>
      <w:r w:rsidRPr="00232847">
        <w:rPr>
          <w:rFonts w:ascii="Times New Roman" w:eastAsia="Times New Roman" w:hAnsi="Times New Roman" w:cs="Times New Roman"/>
          <w:b/>
          <w:bCs/>
          <w:i/>
          <w:iCs/>
          <w:sz w:val="24"/>
          <w:szCs w:val="24"/>
        </w:rPr>
        <w:t>Yoshiyama</w:t>
      </w:r>
      <w:proofErr w:type="spellEnd"/>
      <w:r w:rsidRPr="00232847">
        <w:rPr>
          <w:rFonts w:ascii="Times New Roman" w:eastAsia="Times New Roman" w:hAnsi="Times New Roman" w:cs="Times New Roman"/>
          <w:b/>
          <w:bCs/>
          <w:i/>
          <w:iCs/>
          <w:sz w:val="24"/>
          <w:szCs w:val="24"/>
        </w:rPr>
        <w:t xml:space="preserve"> Program?</w:t>
      </w:r>
      <w:bookmarkEnd w:id="12"/>
    </w:p>
    <w:tbl>
      <w:tblPr>
        <w:tblW w:w="4750" w:type="pct"/>
        <w:tblCellSpacing w:w="15" w:type="dxa"/>
        <w:tblCellMar>
          <w:top w:w="30" w:type="dxa"/>
          <w:left w:w="30" w:type="dxa"/>
          <w:bottom w:w="30" w:type="dxa"/>
          <w:right w:w="30" w:type="dxa"/>
        </w:tblCellMar>
        <w:tblLook w:val="04A0"/>
      </w:tblPr>
      <w:tblGrid>
        <w:gridCol w:w="491"/>
        <w:gridCol w:w="8515"/>
      </w:tblGrid>
      <w:tr w:rsidR="00232847" w:rsidRPr="00232847" w:rsidTr="00232847">
        <w:trPr>
          <w:tblCellSpacing w:w="15" w:type="dxa"/>
        </w:trPr>
        <w:tc>
          <w:tcPr>
            <w:tcW w:w="250" w:type="pct"/>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50" name="Picture 50"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4650" w:type="pct"/>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 xml:space="preserve">A business offering free SAT prep courses to low-income students. On average, low-income students score 300 points below their high-income counterparts on the SAT. This gap can mean the difference between attending college </w:t>
            </w:r>
            <w:proofErr w:type="gramStart"/>
            <w:r w:rsidRPr="00232847">
              <w:rPr>
                <w:rFonts w:ascii="Times New Roman" w:eastAsia="Times New Roman" w:hAnsi="Times New Roman" w:cs="Times New Roman"/>
                <w:sz w:val="24"/>
                <w:szCs w:val="24"/>
              </w:rPr>
              <w:t>or</w:t>
            </w:r>
            <w:proofErr w:type="gramEnd"/>
            <w:r w:rsidRPr="00232847">
              <w:rPr>
                <w:rFonts w:ascii="Times New Roman" w:eastAsia="Times New Roman" w:hAnsi="Times New Roman" w:cs="Times New Roman"/>
                <w:sz w:val="24"/>
                <w:szCs w:val="24"/>
              </w:rPr>
              <w:t xml:space="preserve"> not attending college at all. This enterprise offers free, online SAT prep courses created with students' learning styles in mind. On average, students in the program experience a 200 point increase in their SAT scores. The enterprise secures revenues through colleges and universities. During online coursework, students are able to indicate interest in specific schools. These schools pay a fee for each interested student. </w:t>
            </w:r>
          </w:p>
        </w:tc>
      </w:tr>
      <w:tr w:rsidR="00232847" w:rsidRPr="00232847" w:rsidTr="00232847">
        <w:trPr>
          <w:tblCellSpacing w:w="15" w:type="dxa"/>
        </w:trPr>
        <w:tc>
          <w:tcPr>
            <w:tcW w:w="250" w:type="pct"/>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51" name="Picture 51"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4750" w:type="pct"/>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A real estate business utilizing an innovative employee incentive structure that focuses on middle market and underutilized residential properties. While most traditional real estate brokers pay agents a commission based on sales prices, this group utilizes a different compensation model by paying agents a base salary and a small commission based on volume. The business focuses on homes for individuals earning between 35 and 60% of the local median income who are often priced out of the market. By focusing on this neglected market, these agents help individuals buy their first homes, build equity and a credit history, thereby strengthening the surrounding communities.</w:t>
            </w:r>
          </w:p>
        </w:tc>
      </w:tr>
      <w:tr w:rsidR="00232847" w:rsidRPr="00232847" w:rsidTr="00232847">
        <w:trPr>
          <w:tblCellSpacing w:w="15" w:type="dxa"/>
        </w:trPr>
        <w:tc>
          <w:tcPr>
            <w:tcW w:w="250" w:type="pct"/>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111125" cy="87630"/>
                  <wp:effectExtent l="19050" t="0" r="3175" b="0"/>
                  <wp:docPr id="52" name="Picture 52"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4750" w:type="pct"/>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 xml:space="preserve">A local loan fund offering small business loans and personal finance classes. The company provides low-income individuals with capital and skills needed to raise their income levels and improve their quality of life. The fund collaborates with community partners to offer financial literacy courses and offers its loans at an affordable interest rate. </w:t>
            </w:r>
          </w:p>
        </w:tc>
      </w:tr>
      <w:tr w:rsidR="00232847" w:rsidRPr="00232847" w:rsidTr="00232847">
        <w:trPr>
          <w:tblCellSpacing w:w="15" w:type="dxa"/>
        </w:trPr>
        <w:tc>
          <w:tcPr>
            <w:tcW w:w="250" w:type="pct"/>
            <w:hideMark/>
          </w:tcPr>
          <w:p w:rsidR="00232847" w:rsidRPr="00232847" w:rsidRDefault="00232847" w:rsidP="002328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1125" cy="87630"/>
                  <wp:effectExtent l="19050" t="0" r="3175" b="0"/>
                  <wp:docPr id="53" name="Picture 53" descr="http://www.hitachifoundation.org/images/global/lg_bull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hitachifoundation.org/images/global/lg_bullet.gif"/>
                          <pic:cNvPicPr>
                            <a:picLocks noChangeAspect="1" noChangeArrowheads="1"/>
                          </pic:cNvPicPr>
                        </pic:nvPicPr>
                        <pic:blipFill>
                          <a:blip r:embed="rId6" cstate="print"/>
                          <a:srcRect/>
                          <a:stretch>
                            <a:fillRect/>
                          </a:stretch>
                        </pic:blipFill>
                        <pic:spPr bwMode="auto">
                          <a:xfrm>
                            <a:off x="0" y="0"/>
                            <a:ext cx="111125" cy="87630"/>
                          </a:xfrm>
                          <a:prstGeom prst="rect">
                            <a:avLst/>
                          </a:prstGeom>
                          <a:noFill/>
                          <a:ln w="9525">
                            <a:noFill/>
                            <a:miter lim="800000"/>
                            <a:headEnd/>
                            <a:tailEnd/>
                          </a:ln>
                        </pic:spPr>
                      </pic:pic>
                    </a:graphicData>
                  </a:graphic>
                </wp:inline>
              </w:drawing>
            </w:r>
          </w:p>
        </w:tc>
        <w:tc>
          <w:tcPr>
            <w:tcW w:w="4750" w:type="pct"/>
            <w:vAlign w:val="center"/>
            <w:hideMark/>
          </w:tcPr>
          <w:p w:rsidR="00232847" w:rsidRPr="00232847" w:rsidRDefault="00232847" w:rsidP="00232847">
            <w:pPr>
              <w:spacing w:after="0" w:line="240" w:lineRule="auto"/>
              <w:rPr>
                <w:rFonts w:ascii="Times New Roman" w:eastAsia="Times New Roman" w:hAnsi="Times New Roman" w:cs="Times New Roman"/>
                <w:sz w:val="24"/>
                <w:szCs w:val="24"/>
              </w:rPr>
            </w:pPr>
            <w:r w:rsidRPr="00232847">
              <w:rPr>
                <w:rFonts w:ascii="Times New Roman" w:eastAsia="Times New Roman" w:hAnsi="Times New Roman" w:cs="Times New Roman"/>
                <w:sz w:val="24"/>
                <w:szCs w:val="24"/>
              </w:rPr>
              <w:t xml:space="preserve">A Farmer's Market organization, located in a community with high unemployment, focuses on assisting local entrepreneurs improve and grow their businesses. Many of the participating entrepreneurs are low-income individuals of the community. More than 25 local residents are regular vendors at the Market. Though a nonprofit, the Farmer's Market organization secures vendor fees as its revenue source. In addition, the Farmer's Market organization provides </w:t>
            </w:r>
            <w:proofErr w:type="gramStart"/>
            <w:r w:rsidRPr="00232847">
              <w:rPr>
                <w:rFonts w:ascii="Times New Roman" w:eastAsia="Times New Roman" w:hAnsi="Times New Roman" w:cs="Times New Roman"/>
                <w:sz w:val="24"/>
                <w:szCs w:val="24"/>
              </w:rPr>
              <w:t>vendors</w:t>
            </w:r>
            <w:proofErr w:type="gramEnd"/>
            <w:r w:rsidRPr="00232847">
              <w:rPr>
                <w:rFonts w:ascii="Times New Roman" w:eastAsia="Times New Roman" w:hAnsi="Times New Roman" w:cs="Times New Roman"/>
                <w:sz w:val="24"/>
                <w:szCs w:val="24"/>
              </w:rPr>
              <w:t xml:space="preserve"> access to local business students who help improve vendors' business plans. Through the Farmer's Market organization these vendors have substantially improved their financial condition and are in turn able to better contribute to the community's economy.</w:t>
            </w:r>
          </w:p>
        </w:tc>
      </w:tr>
    </w:tbl>
    <w:p w:rsidR="00232847" w:rsidRPr="00232847" w:rsidRDefault="00232847" w:rsidP="00232847">
      <w:pPr>
        <w:spacing w:after="0" w:line="240" w:lineRule="auto"/>
        <w:rPr>
          <w:rFonts w:ascii="Times New Roman" w:eastAsia="Times New Roman" w:hAnsi="Times New Roman" w:cs="Times New Roman"/>
          <w:sz w:val="24"/>
          <w:szCs w:val="24"/>
        </w:rPr>
      </w:pPr>
    </w:p>
    <w:p w:rsidR="00232847" w:rsidRPr="00232847" w:rsidRDefault="00232847" w:rsidP="00232847">
      <w:pPr>
        <w:spacing w:after="0" w:line="240" w:lineRule="auto"/>
        <w:jc w:val="right"/>
        <w:rPr>
          <w:rFonts w:ascii="Times New Roman" w:eastAsia="Times New Roman" w:hAnsi="Times New Roman" w:cs="Times New Roman"/>
          <w:sz w:val="24"/>
          <w:szCs w:val="24"/>
        </w:rPr>
      </w:pPr>
      <w:hyperlink r:id="rId8" w:anchor="top" w:history="1">
        <w:proofErr w:type="gramStart"/>
        <w:r w:rsidRPr="00232847">
          <w:rPr>
            <w:rFonts w:ascii="Times New Roman" w:eastAsia="Times New Roman" w:hAnsi="Times New Roman" w:cs="Times New Roman"/>
            <w:b/>
            <w:bCs/>
            <w:color w:val="0000FF"/>
            <w:sz w:val="24"/>
            <w:szCs w:val="24"/>
            <w:u w:val="single"/>
          </w:rPr>
          <w:t>back</w:t>
        </w:r>
        <w:proofErr w:type="gramEnd"/>
        <w:r w:rsidRPr="00232847">
          <w:rPr>
            <w:rFonts w:ascii="Times New Roman" w:eastAsia="Times New Roman" w:hAnsi="Times New Roman" w:cs="Times New Roman"/>
            <w:b/>
            <w:bCs/>
            <w:color w:val="0000FF"/>
            <w:sz w:val="24"/>
            <w:szCs w:val="24"/>
            <w:u w:val="single"/>
          </w:rPr>
          <w:t xml:space="preserve"> to top</w:t>
        </w:r>
      </w:hyperlink>
    </w:p>
    <w:p w:rsidR="00232847" w:rsidRDefault="00232847" w:rsidP="00232847">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pict>
          <v:shape id="_x0000_i1026" type="#_x0000_t75" alt="" style="width:.65pt;height:.65pt"/>
        </w:pict>
      </w:r>
      <w:r>
        <w:rPr>
          <w:rFonts w:ascii="Times New Roman" w:eastAsia="Times New Roman" w:hAnsi="Times New Roman" w:cs="Times New Roman"/>
          <w:noProof/>
          <w:sz w:val="24"/>
          <w:szCs w:val="24"/>
        </w:rPr>
        <w:drawing>
          <wp:inline distT="0" distB="0" distL="0" distR="0">
            <wp:extent cx="15875" cy="55880"/>
            <wp:effectExtent l="0" t="0" r="0" b="0"/>
            <wp:docPr id="55" name="Picture 55"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hitachifoundation.org/images/spacer.gif"/>
                    <pic:cNvPicPr>
                      <a:picLocks noChangeAspect="1" noChangeArrowheads="1"/>
                    </pic:cNvPicPr>
                  </pic:nvPicPr>
                  <pic:blipFill>
                    <a:blip r:embed="rId5"/>
                    <a:srcRect/>
                    <a:stretch>
                      <a:fillRect/>
                    </a:stretch>
                  </pic:blipFill>
                  <pic:spPr bwMode="auto">
                    <a:xfrm>
                      <a:off x="0" y="0"/>
                      <a:ext cx="15875" cy="5588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79375" cy="79375"/>
            <wp:effectExtent l="0" t="0" r="0" b="0"/>
            <wp:docPr id="56" name="Picture 56"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hitachifoundation.org/images/spacer.gif"/>
                    <pic:cNvPicPr>
                      <a:picLocks noChangeAspect="1" noChangeArrowheads="1"/>
                    </pic:cNvPicPr>
                  </pic:nvPicPr>
                  <pic:blipFill>
                    <a:blip r:embed="rId5"/>
                    <a:srcRect/>
                    <a:stretch>
                      <a:fillRect/>
                    </a:stretch>
                  </pic:blipFill>
                  <pic:spPr bwMode="auto">
                    <a:xfrm>
                      <a:off x="0" y="0"/>
                      <a:ext cx="79375" cy="793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74625" cy="79375"/>
            <wp:effectExtent l="0" t="0" r="0" b="0"/>
            <wp:docPr id="57" name="Picture 57"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hitachifoundation.org/images/spacer.gif"/>
                    <pic:cNvPicPr>
                      <a:picLocks noChangeAspect="1" noChangeArrowheads="1"/>
                    </pic:cNvPicPr>
                  </pic:nvPicPr>
                  <pic:blipFill>
                    <a:blip r:embed="rId5"/>
                    <a:srcRect/>
                    <a:stretch>
                      <a:fillRect/>
                    </a:stretch>
                  </pic:blipFill>
                  <pic:spPr bwMode="auto">
                    <a:xfrm>
                      <a:off x="0" y="0"/>
                      <a:ext cx="174625" cy="793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255" cy="8255"/>
            <wp:effectExtent l="0" t="0" r="0" b="0"/>
            <wp:docPr id="58" name="Picture 58"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hitachifoundation.org/images/spacer.gif"/>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8255" cy="8255"/>
            <wp:effectExtent l="0" t="0" r="0" b="0"/>
            <wp:docPr id="59" name="Picture 59"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hitachifoundation.org/images/spacer.gif"/>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232847">
        <w:rPr>
          <w:rFonts w:ascii="Times New Roman" w:eastAsia="Times New Roman" w:hAnsi="Times New Roman" w:cs="Times New Roman"/>
          <w:sz w:val="24"/>
          <w:szCs w:val="24"/>
        </w:rPr>
        <w:br/>
      </w:r>
      <w:bookmarkStart w:id="13" w:name="4"/>
      <w:r w:rsidRPr="00232847">
        <w:rPr>
          <w:rFonts w:ascii="Times New Roman" w:eastAsia="Times New Roman" w:hAnsi="Times New Roman" w:cs="Times New Roman"/>
          <w:sz w:val="24"/>
          <w:szCs w:val="24"/>
        </w:rPr>
        <w:t>Administrative Details</w:t>
      </w:r>
      <w:bookmarkEnd w:id="13"/>
      <w:r w:rsidRPr="0023284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79375" cy="55880"/>
            <wp:effectExtent l="0" t="0" r="0" b="0"/>
            <wp:docPr id="60" name="Picture 60"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hitachifoundation.org/images/spacer.gif"/>
                    <pic:cNvPicPr>
                      <a:picLocks noChangeAspect="1" noChangeArrowheads="1"/>
                    </pic:cNvPicPr>
                  </pic:nvPicPr>
                  <pic:blipFill>
                    <a:blip r:embed="rId5"/>
                    <a:srcRect/>
                    <a:stretch>
                      <a:fillRect/>
                    </a:stretch>
                  </pic:blipFill>
                  <pic:spPr bwMode="auto">
                    <a:xfrm>
                      <a:off x="0" y="0"/>
                      <a:ext cx="79375" cy="5588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11125" cy="79375"/>
            <wp:effectExtent l="0" t="0" r="0" b="0"/>
            <wp:docPr id="61" name="Picture 61" descr="http://www.hitachifoundation.org/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hitachifoundation.org/images/spacer.gif"/>
                    <pic:cNvPicPr>
                      <a:picLocks noChangeAspect="1" noChangeArrowheads="1"/>
                    </pic:cNvPicPr>
                  </pic:nvPicPr>
                  <pic:blipFill>
                    <a:blip r:embed="rId5"/>
                    <a:srcRect/>
                    <a:stretch>
                      <a:fillRect/>
                    </a:stretch>
                  </pic:blipFill>
                  <pic:spPr bwMode="auto">
                    <a:xfrm>
                      <a:off x="0" y="0"/>
                      <a:ext cx="111125" cy="79375"/>
                    </a:xfrm>
                    <a:prstGeom prst="rect">
                      <a:avLst/>
                    </a:prstGeom>
                    <a:noFill/>
                    <a:ln w="9525">
                      <a:noFill/>
                      <a:miter lim="800000"/>
                      <a:headEnd/>
                      <a:tailEnd/>
                    </a:ln>
                  </pic:spPr>
                </pic:pic>
              </a:graphicData>
            </a:graphic>
          </wp:inline>
        </w:drawing>
      </w:r>
      <w:bookmarkStart w:id="14" w:name="4a"/>
      <w:proofErr w:type="gramStart"/>
      <w:r w:rsidRPr="00232847">
        <w:rPr>
          <w:rFonts w:ascii="Times New Roman" w:eastAsia="Times New Roman" w:hAnsi="Times New Roman" w:cs="Times New Roman"/>
          <w:b/>
          <w:bCs/>
          <w:sz w:val="24"/>
          <w:szCs w:val="24"/>
        </w:rPr>
        <w:t>Whom</w:t>
      </w:r>
      <w:proofErr w:type="gramEnd"/>
      <w:r w:rsidRPr="00232847">
        <w:rPr>
          <w:rFonts w:ascii="Times New Roman" w:eastAsia="Times New Roman" w:hAnsi="Times New Roman" w:cs="Times New Roman"/>
          <w:b/>
          <w:bCs/>
          <w:sz w:val="24"/>
          <w:szCs w:val="24"/>
        </w:rPr>
        <w:t xml:space="preserve"> can I contact should I have questions about the application or application process?</w:t>
      </w:r>
      <w:bookmarkEnd w:id="14"/>
      <w:r w:rsidRPr="00232847">
        <w:rPr>
          <w:rFonts w:ascii="Times New Roman" w:eastAsia="Times New Roman" w:hAnsi="Times New Roman" w:cs="Times New Roman"/>
          <w:sz w:val="24"/>
          <w:szCs w:val="24"/>
        </w:rPr>
        <w:br/>
        <w:t xml:space="preserve">Please email </w:t>
      </w:r>
      <w:hyperlink r:id="rId9" w:history="1">
        <w:r w:rsidRPr="00232847">
          <w:rPr>
            <w:rFonts w:ascii="Times New Roman" w:eastAsia="Times New Roman" w:hAnsi="Times New Roman" w:cs="Times New Roman"/>
            <w:color w:val="0000FF"/>
            <w:sz w:val="24"/>
            <w:szCs w:val="24"/>
            <w:u w:val="single"/>
          </w:rPr>
          <w:t>yoshiprogram@hitachifoundation.org</w:t>
        </w:r>
      </w:hyperlink>
      <w:r w:rsidRPr="00232847">
        <w:rPr>
          <w:rFonts w:ascii="Times New Roman" w:eastAsia="Times New Roman" w:hAnsi="Times New Roman" w:cs="Times New Roman"/>
          <w:sz w:val="24"/>
          <w:szCs w:val="24"/>
        </w:rPr>
        <w:t xml:space="preserve"> with any questions.</w:t>
      </w:r>
      <w:r w:rsidRPr="00232847">
        <w:rPr>
          <w:rFonts w:ascii="Times New Roman" w:eastAsia="Times New Roman" w:hAnsi="Times New Roman" w:cs="Times New Roman"/>
          <w:sz w:val="24"/>
          <w:szCs w:val="24"/>
        </w:rPr>
        <w:br/>
      </w:r>
      <w:r w:rsidRPr="00232847">
        <w:rPr>
          <w:rFonts w:ascii="Times New Roman" w:eastAsia="Times New Roman" w:hAnsi="Times New Roman" w:cs="Times New Roman"/>
          <w:sz w:val="24"/>
          <w:szCs w:val="24"/>
        </w:rPr>
        <w:br/>
      </w:r>
      <w:bookmarkStart w:id="15" w:name="4b"/>
      <w:r w:rsidRPr="00232847">
        <w:rPr>
          <w:rFonts w:ascii="Times New Roman" w:eastAsia="Times New Roman" w:hAnsi="Times New Roman" w:cs="Times New Roman"/>
          <w:b/>
          <w:bCs/>
          <w:sz w:val="24"/>
          <w:szCs w:val="24"/>
        </w:rPr>
        <w:t>Once my application has been submitted, what are the next steps?</w:t>
      </w:r>
      <w:bookmarkEnd w:id="15"/>
      <w:r w:rsidRPr="00232847">
        <w:rPr>
          <w:rFonts w:ascii="Times New Roman" w:eastAsia="Times New Roman" w:hAnsi="Times New Roman" w:cs="Times New Roman"/>
          <w:sz w:val="24"/>
          <w:szCs w:val="24"/>
        </w:rPr>
        <w:t xml:space="preserve"> </w:t>
      </w:r>
      <w:r w:rsidRPr="00232847">
        <w:rPr>
          <w:rFonts w:ascii="Times New Roman" w:eastAsia="Times New Roman" w:hAnsi="Times New Roman" w:cs="Times New Roman"/>
          <w:sz w:val="24"/>
          <w:szCs w:val="24"/>
        </w:rPr>
        <w:br/>
        <w:t xml:space="preserve">The Application Timeline can be found </w:t>
      </w:r>
      <w:hyperlink r:id="rId10" w:history="1">
        <w:r w:rsidRPr="00232847">
          <w:rPr>
            <w:rFonts w:ascii="Times New Roman" w:eastAsia="Times New Roman" w:hAnsi="Times New Roman" w:cs="Times New Roman"/>
            <w:color w:val="0000FF"/>
            <w:sz w:val="24"/>
            <w:szCs w:val="24"/>
            <w:u w:val="single"/>
          </w:rPr>
          <w:t>here</w:t>
        </w:r>
      </w:hyperlink>
      <w:r w:rsidRPr="00232847">
        <w:rPr>
          <w:rFonts w:ascii="Times New Roman" w:eastAsia="Times New Roman" w:hAnsi="Times New Roman" w:cs="Times New Roman"/>
          <w:sz w:val="24"/>
          <w:szCs w:val="24"/>
        </w:rPr>
        <w:t>. You will be notified via email if you are invited to continue in the application process. Further instructions will be sent with that email communication.</w:t>
      </w:r>
    </w:p>
    <w:sectPr w:rsidR="00232847" w:rsidSect="00EA272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32847"/>
    <w:rsid w:val="00232847"/>
    <w:rsid w:val="00B04F17"/>
    <w:rsid w:val="00C86369"/>
    <w:rsid w:val="00EA27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7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
    <w:name w:val="header"/>
    <w:basedOn w:val="DefaultParagraphFont"/>
    <w:rsid w:val="00232847"/>
  </w:style>
  <w:style w:type="character" w:styleId="Strong">
    <w:name w:val="Strong"/>
    <w:basedOn w:val="DefaultParagraphFont"/>
    <w:uiPriority w:val="22"/>
    <w:qFormat/>
    <w:rsid w:val="00232847"/>
    <w:rPr>
      <w:b/>
      <w:bCs/>
    </w:rPr>
  </w:style>
  <w:style w:type="paragraph" w:styleId="BalloonText">
    <w:name w:val="Balloon Text"/>
    <w:basedOn w:val="Normal"/>
    <w:link w:val="BalloonTextChar"/>
    <w:uiPriority w:val="99"/>
    <w:semiHidden/>
    <w:unhideWhenUsed/>
    <w:rsid w:val="00232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847"/>
    <w:rPr>
      <w:rFonts w:ascii="Tahoma" w:hAnsi="Tahoma" w:cs="Tahoma"/>
      <w:sz w:val="16"/>
      <w:szCs w:val="16"/>
    </w:rPr>
  </w:style>
  <w:style w:type="character" w:customStyle="1" w:styleId="blue">
    <w:name w:val="blue"/>
    <w:basedOn w:val="DefaultParagraphFont"/>
    <w:rsid w:val="00232847"/>
  </w:style>
  <w:style w:type="character" w:styleId="Emphasis">
    <w:name w:val="Emphasis"/>
    <w:basedOn w:val="DefaultParagraphFont"/>
    <w:uiPriority w:val="20"/>
    <w:qFormat/>
    <w:rsid w:val="00232847"/>
    <w:rPr>
      <w:i/>
      <w:iCs/>
    </w:rPr>
  </w:style>
  <w:style w:type="character" w:styleId="Hyperlink">
    <w:name w:val="Hyperlink"/>
    <w:basedOn w:val="DefaultParagraphFont"/>
    <w:uiPriority w:val="99"/>
    <w:semiHidden/>
    <w:unhideWhenUsed/>
    <w:rsid w:val="00232847"/>
    <w:rPr>
      <w:color w:val="0000FF"/>
      <w:u w:val="single"/>
    </w:rPr>
  </w:style>
</w:styles>
</file>

<file path=word/webSettings.xml><?xml version="1.0" encoding="utf-8"?>
<w:webSettings xmlns:r="http://schemas.openxmlformats.org/officeDocument/2006/relationships" xmlns:w="http://schemas.openxmlformats.org/wordprocessingml/2006/main">
  <w:divs>
    <w:div w:id="289433117">
      <w:bodyDiv w:val="1"/>
      <w:marLeft w:val="0"/>
      <w:marRight w:val="0"/>
      <w:marTop w:val="0"/>
      <w:marBottom w:val="0"/>
      <w:divBdr>
        <w:top w:val="none" w:sz="0" w:space="0" w:color="auto"/>
        <w:left w:val="none" w:sz="0" w:space="0" w:color="auto"/>
        <w:bottom w:val="none" w:sz="0" w:space="0" w:color="auto"/>
        <w:right w:val="none" w:sz="0" w:space="0" w:color="auto"/>
      </w:divBdr>
    </w:div>
    <w:div w:id="147830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tachifoundation.org/yoshiyama/program_faqs/index.html" TargetMode="External"/><Relationship Id="rId3" Type="http://schemas.openxmlformats.org/officeDocument/2006/relationships/webSettings" Target="webSettings.xml"/><Relationship Id="rId7" Type="http://schemas.openxmlformats.org/officeDocument/2006/relationships/hyperlink" Target="http://www.hitachifoundation.org/yoshiyama/program_faqs/index.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fontTable" Target="fontTable.xml"/><Relationship Id="rId5" Type="http://schemas.openxmlformats.org/officeDocument/2006/relationships/image" Target="media/image2.gif"/><Relationship Id="rId10" Type="http://schemas.openxmlformats.org/officeDocument/2006/relationships/hyperlink" Target="http://www.hitachifoundation.org/yoshiyama/application/timeline.html" TargetMode="External"/><Relationship Id="rId4" Type="http://schemas.openxmlformats.org/officeDocument/2006/relationships/image" Target="media/image1.gif"/><Relationship Id="rId9" Type="http://schemas.openxmlformats.org/officeDocument/2006/relationships/hyperlink" Target="mailto:yoshiprogram@hitachifound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1397</Words>
  <Characters>7967</Characters>
  <Application>Microsoft Office Word</Application>
  <DocSecurity>0</DocSecurity>
  <Lines>66</Lines>
  <Paragraphs>18</Paragraphs>
  <ScaleCrop>false</ScaleCrop>
  <Company/>
  <LinksUpToDate>false</LinksUpToDate>
  <CharactersWithSpaces>9346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Ovia</dc:creator>
  <cp:lastModifiedBy>Ovia</cp:lastModifiedBy>
  <cp:revision>1</cp:revision>
  <dcterms:created xsi:type="dcterms:W3CDTF">2010-03-03T07:37:00Z</dcterms:created>
  <dcterms:modified xsi:type="dcterms:W3CDTF">2010-03-03T07:39:00Z</dcterms:modified>
</cp:coreProperties>
</file>