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3C9A" w:rsidRPr="00473C9A" w:rsidRDefault="00473C9A" w:rsidP="00473C9A">
      <w:pPr>
        <w:autoSpaceDE w:val="0"/>
        <w:autoSpaceDN w:val="0"/>
        <w:adjustRightInd w:val="0"/>
        <w:spacing w:after="0" w:line="240" w:lineRule="auto"/>
        <w:rPr>
          <w:rFonts w:asciiTheme="majorHAnsi" w:hAnsiTheme="majorHAnsi" w:cstheme="minorHAnsi"/>
          <w:b/>
          <w:bCs/>
        </w:rPr>
      </w:pPr>
      <w:r w:rsidRPr="00473C9A">
        <w:rPr>
          <w:rFonts w:asciiTheme="majorHAnsi" w:hAnsiTheme="majorHAnsi" w:cstheme="minorHAnsi"/>
          <w:b/>
          <w:bCs/>
        </w:rPr>
        <w:t>Summary</w:t>
      </w:r>
      <w:r w:rsidR="00075D98">
        <w:rPr>
          <w:rFonts w:asciiTheme="majorHAnsi" w:hAnsiTheme="majorHAnsi" w:cstheme="minorHAnsi"/>
          <w:b/>
          <w:bCs/>
        </w:rPr>
        <w:t xml:space="preserve"> of Consulting and Documentation Services</w:t>
      </w:r>
    </w:p>
    <w:p w:rsidR="00473C9A" w:rsidRPr="00473C9A" w:rsidRDefault="00473C9A" w:rsidP="00473C9A">
      <w:pPr>
        <w:autoSpaceDE w:val="0"/>
        <w:autoSpaceDN w:val="0"/>
        <w:adjustRightInd w:val="0"/>
        <w:spacing w:after="0" w:line="240" w:lineRule="auto"/>
        <w:rPr>
          <w:rFonts w:cstheme="minorHAnsi"/>
        </w:rPr>
      </w:pPr>
      <w:r w:rsidRPr="00473C9A">
        <w:rPr>
          <w:rFonts w:cstheme="minorHAnsi"/>
        </w:rPr>
        <w:t>The Contractor shall provide Common Criteria consulting and document preparation to support a</w:t>
      </w:r>
      <w:r>
        <w:rPr>
          <w:rFonts w:cstheme="minorHAnsi"/>
        </w:rPr>
        <w:t xml:space="preserve"> </w:t>
      </w:r>
      <w:r w:rsidRPr="00473C9A">
        <w:rPr>
          <w:rFonts w:cstheme="minorHAnsi"/>
        </w:rPr>
        <w:t xml:space="preserve">Common </w:t>
      </w:r>
      <w:r w:rsidR="00075D98">
        <w:rPr>
          <w:rFonts w:cstheme="minorHAnsi"/>
        </w:rPr>
        <w:t>Criteria EAL2 evaluation of a .Net Software Product</w:t>
      </w:r>
      <w:r w:rsidRPr="00473C9A">
        <w:rPr>
          <w:rFonts w:cstheme="minorHAnsi"/>
        </w:rPr>
        <w:t xml:space="preserve"> </w:t>
      </w:r>
      <w:r w:rsidR="00075D98">
        <w:rPr>
          <w:rFonts w:cstheme="minorHAnsi"/>
        </w:rPr>
        <w:t>(Software P</w:t>
      </w:r>
      <w:r w:rsidRPr="00473C9A">
        <w:rPr>
          <w:rFonts w:cstheme="minorHAnsi"/>
        </w:rPr>
        <w:t>roduct</w:t>
      </w:r>
      <w:r w:rsidR="00075D98">
        <w:rPr>
          <w:rFonts w:cstheme="minorHAnsi"/>
        </w:rPr>
        <w:t>)</w:t>
      </w:r>
      <w:r w:rsidRPr="00473C9A">
        <w:rPr>
          <w:rFonts w:cstheme="minorHAnsi"/>
        </w:rPr>
        <w:t>. The documentation generated</w:t>
      </w:r>
      <w:r>
        <w:rPr>
          <w:rFonts w:cstheme="minorHAnsi"/>
        </w:rPr>
        <w:t xml:space="preserve"> </w:t>
      </w:r>
      <w:r w:rsidRPr="00473C9A">
        <w:rPr>
          <w:rFonts w:cstheme="minorHAnsi"/>
        </w:rPr>
        <w:t>shall be conformant EAL2 Assurance Requirements and NIAP scheme requirements (www.niapccevs.org/policy/ccevs/).</w:t>
      </w:r>
    </w:p>
    <w:p w:rsidR="00473C9A" w:rsidRPr="003F6448" w:rsidRDefault="00473C9A" w:rsidP="00473C9A">
      <w:pPr>
        <w:autoSpaceDE w:val="0"/>
        <w:autoSpaceDN w:val="0"/>
        <w:adjustRightInd w:val="0"/>
        <w:spacing w:after="0" w:line="240" w:lineRule="auto"/>
        <w:rPr>
          <w:rFonts w:asciiTheme="majorHAnsi" w:hAnsiTheme="majorHAnsi" w:cstheme="minorHAnsi"/>
          <w:b/>
          <w:bCs/>
        </w:rPr>
      </w:pPr>
      <w:r w:rsidRPr="003F6448">
        <w:rPr>
          <w:rFonts w:asciiTheme="majorHAnsi" w:hAnsiTheme="majorHAnsi" w:cstheme="minorHAnsi"/>
          <w:b/>
          <w:bCs/>
        </w:rPr>
        <w:t>Statement of Work</w:t>
      </w:r>
    </w:p>
    <w:p w:rsidR="00473C9A" w:rsidRPr="00473C9A" w:rsidRDefault="00473C9A" w:rsidP="00473C9A">
      <w:pPr>
        <w:pStyle w:val="ListParagraph"/>
        <w:numPr>
          <w:ilvl w:val="0"/>
          <w:numId w:val="8"/>
        </w:numPr>
        <w:autoSpaceDE w:val="0"/>
        <w:autoSpaceDN w:val="0"/>
        <w:adjustRightInd w:val="0"/>
        <w:spacing w:after="0" w:line="240" w:lineRule="auto"/>
        <w:ind w:left="360" w:firstLine="0"/>
        <w:rPr>
          <w:rFonts w:cstheme="minorHAnsi"/>
        </w:rPr>
      </w:pPr>
      <w:r w:rsidRPr="00473C9A">
        <w:rPr>
          <w:rFonts w:cstheme="minorHAnsi"/>
          <w:b/>
          <w:bCs/>
        </w:rPr>
        <w:t xml:space="preserve">COE </w:t>
      </w:r>
      <w:r w:rsidRPr="00473C9A">
        <w:rPr>
          <w:rFonts w:cstheme="minorHAnsi"/>
        </w:rPr>
        <w:t xml:space="preserve">shall provide an instance of </w:t>
      </w:r>
      <w:r w:rsidR="00075D98">
        <w:rPr>
          <w:rFonts w:cstheme="minorHAnsi"/>
        </w:rPr>
        <w:t>Software Product</w:t>
      </w:r>
      <w:r w:rsidRPr="00473C9A">
        <w:rPr>
          <w:rFonts w:cstheme="minorHAnsi"/>
        </w:rPr>
        <w:t xml:space="preserve"> for the Contractor’s use.</w:t>
      </w:r>
    </w:p>
    <w:p w:rsidR="00473C9A" w:rsidRPr="00473C9A" w:rsidRDefault="00473C9A" w:rsidP="00473C9A">
      <w:pPr>
        <w:pStyle w:val="ListParagraph"/>
        <w:numPr>
          <w:ilvl w:val="0"/>
          <w:numId w:val="5"/>
        </w:numPr>
        <w:autoSpaceDE w:val="0"/>
        <w:autoSpaceDN w:val="0"/>
        <w:adjustRightInd w:val="0"/>
        <w:spacing w:after="0" w:line="240" w:lineRule="auto"/>
        <w:rPr>
          <w:rFonts w:cstheme="minorHAnsi"/>
        </w:rPr>
      </w:pPr>
      <w:r w:rsidRPr="00473C9A">
        <w:rPr>
          <w:rFonts w:cstheme="minorHAnsi"/>
          <w:b/>
          <w:bCs/>
        </w:rPr>
        <w:t xml:space="preserve">COE </w:t>
      </w:r>
      <w:r w:rsidRPr="00473C9A">
        <w:rPr>
          <w:rFonts w:cstheme="minorHAnsi"/>
        </w:rPr>
        <w:t>shall provide a representative who is knowledgeable of the product at an engineering</w:t>
      </w:r>
      <w:r>
        <w:rPr>
          <w:rFonts w:cstheme="minorHAnsi"/>
        </w:rPr>
        <w:t xml:space="preserve"> </w:t>
      </w:r>
      <w:r w:rsidRPr="00473C9A">
        <w:rPr>
          <w:rFonts w:cstheme="minorHAnsi"/>
        </w:rPr>
        <w:t>level.</w:t>
      </w:r>
    </w:p>
    <w:p w:rsidR="00473C9A" w:rsidRPr="00473C9A" w:rsidRDefault="00473C9A" w:rsidP="00473C9A">
      <w:pPr>
        <w:pStyle w:val="ListParagraph"/>
        <w:numPr>
          <w:ilvl w:val="0"/>
          <w:numId w:val="5"/>
        </w:numPr>
        <w:autoSpaceDE w:val="0"/>
        <w:autoSpaceDN w:val="0"/>
        <w:adjustRightInd w:val="0"/>
        <w:spacing w:after="0" w:line="240" w:lineRule="auto"/>
        <w:rPr>
          <w:rFonts w:cstheme="minorHAnsi"/>
        </w:rPr>
      </w:pPr>
      <w:r w:rsidRPr="00473C9A">
        <w:rPr>
          <w:rFonts w:cstheme="minorHAnsi"/>
          <w:b/>
          <w:bCs/>
        </w:rPr>
        <w:t xml:space="preserve">COE </w:t>
      </w:r>
      <w:r w:rsidRPr="00473C9A">
        <w:rPr>
          <w:rFonts w:cstheme="minorHAnsi"/>
        </w:rPr>
        <w:t>shall provide to the Contractor any user and administrator documentation provided</w:t>
      </w:r>
      <w:r>
        <w:rPr>
          <w:rFonts w:cstheme="minorHAnsi"/>
        </w:rPr>
        <w:t xml:space="preserve"> </w:t>
      </w:r>
      <w:r w:rsidRPr="00473C9A">
        <w:rPr>
          <w:rFonts w:cstheme="minorHAnsi"/>
        </w:rPr>
        <w:t>to end-users.</w:t>
      </w:r>
    </w:p>
    <w:p w:rsidR="00473C9A" w:rsidRPr="00473C9A" w:rsidRDefault="00473C9A" w:rsidP="00473C9A">
      <w:pPr>
        <w:pStyle w:val="ListParagraph"/>
        <w:numPr>
          <w:ilvl w:val="0"/>
          <w:numId w:val="5"/>
        </w:numPr>
        <w:autoSpaceDE w:val="0"/>
        <w:autoSpaceDN w:val="0"/>
        <w:adjustRightInd w:val="0"/>
        <w:spacing w:after="0" w:line="240" w:lineRule="auto"/>
        <w:rPr>
          <w:rFonts w:cstheme="minorHAnsi"/>
        </w:rPr>
      </w:pPr>
      <w:r>
        <w:rPr>
          <w:rFonts w:cstheme="minorHAnsi"/>
          <w:b/>
          <w:bCs/>
        </w:rPr>
        <w:t>The Contractor</w:t>
      </w:r>
      <w:r w:rsidRPr="00473C9A">
        <w:rPr>
          <w:rFonts w:cstheme="minorHAnsi"/>
          <w:b/>
          <w:bCs/>
        </w:rPr>
        <w:t xml:space="preserve"> </w:t>
      </w:r>
      <w:r w:rsidRPr="00473C9A">
        <w:rPr>
          <w:rFonts w:cstheme="minorHAnsi"/>
        </w:rPr>
        <w:t>will generate a Security Target suitable for evaluation.</w:t>
      </w:r>
    </w:p>
    <w:p w:rsidR="00473C9A" w:rsidRPr="00473C9A" w:rsidRDefault="00473C9A" w:rsidP="00473C9A">
      <w:pPr>
        <w:pStyle w:val="ListParagraph"/>
        <w:numPr>
          <w:ilvl w:val="0"/>
          <w:numId w:val="5"/>
        </w:numPr>
        <w:autoSpaceDE w:val="0"/>
        <w:autoSpaceDN w:val="0"/>
        <w:adjustRightInd w:val="0"/>
        <w:spacing w:after="0" w:line="240" w:lineRule="auto"/>
        <w:rPr>
          <w:rFonts w:cstheme="minorHAnsi"/>
        </w:rPr>
      </w:pPr>
      <w:r w:rsidRPr="00473C9A">
        <w:rPr>
          <w:rFonts w:cstheme="minorHAnsi"/>
          <w:b/>
          <w:bCs/>
        </w:rPr>
        <w:t xml:space="preserve">COE </w:t>
      </w:r>
      <w:r w:rsidRPr="00473C9A">
        <w:rPr>
          <w:rFonts w:cstheme="minorHAnsi"/>
        </w:rPr>
        <w:t xml:space="preserve">shall provide to </w:t>
      </w:r>
      <w:r w:rsidR="003F6448">
        <w:rPr>
          <w:rFonts w:cstheme="minorHAnsi"/>
        </w:rPr>
        <w:t>the Contractor</w:t>
      </w:r>
      <w:r w:rsidRPr="00473C9A">
        <w:rPr>
          <w:rFonts w:cstheme="minorHAnsi"/>
        </w:rPr>
        <w:t xml:space="preserve"> any documentation on hand specifying the processes and procedures used by COE for configuration management of </w:t>
      </w:r>
      <w:r w:rsidR="00075D98">
        <w:rPr>
          <w:rFonts w:cstheme="minorHAnsi"/>
        </w:rPr>
        <w:t>Software Product.</w:t>
      </w:r>
    </w:p>
    <w:p w:rsidR="00473C9A" w:rsidRPr="00473C9A" w:rsidRDefault="00473C9A" w:rsidP="00473C9A">
      <w:pPr>
        <w:pStyle w:val="ListParagraph"/>
        <w:numPr>
          <w:ilvl w:val="0"/>
          <w:numId w:val="5"/>
        </w:numPr>
        <w:autoSpaceDE w:val="0"/>
        <w:autoSpaceDN w:val="0"/>
        <w:adjustRightInd w:val="0"/>
        <w:spacing w:after="0" w:line="240" w:lineRule="auto"/>
        <w:rPr>
          <w:rFonts w:cstheme="minorHAnsi"/>
        </w:rPr>
      </w:pPr>
      <w:r>
        <w:rPr>
          <w:rFonts w:cstheme="minorHAnsi"/>
          <w:b/>
          <w:bCs/>
        </w:rPr>
        <w:t>The Contractor</w:t>
      </w:r>
      <w:r w:rsidRPr="00473C9A">
        <w:rPr>
          <w:rFonts w:cstheme="minorHAnsi"/>
          <w:b/>
          <w:bCs/>
        </w:rPr>
        <w:t xml:space="preserve"> </w:t>
      </w:r>
      <w:r w:rsidRPr="00473C9A">
        <w:rPr>
          <w:rFonts w:cstheme="minorHAnsi"/>
        </w:rPr>
        <w:t>will generate Configuration Management documentation.</w:t>
      </w:r>
    </w:p>
    <w:p w:rsidR="00473C9A" w:rsidRPr="00473C9A" w:rsidRDefault="00473C9A" w:rsidP="00473C9A">
      <w:pPr>
        <w:pStyle w:val="ListParagraph"/>
        <w:numPr>
          <w:ilvl w:val="0"/>
          <w:numId w:val="5"/>
        </w:numPr>
        <w:autoSpaceDE w:val="0"/>
        <w:autoSpaceDN w:val="0"/>
        <w:adjustRightInd w:val="0"/>
        <w:spacing w:after="0" w:line="240" w:lineRule="auto"/>
        <w:rPr>
          <w:rFonts w:cstheme="minorHAnsi"/>
        </w:rPr>
      </w:pPr>
      <w:r w:rsidRPr="00473C9A">
        <w:rPr>
          <w:rFonts w:cstheme="minorHAnsi"/>
          <w:b/>
          <w:bCs/>
        </w:rPr>
        <w:t xml:space="preserve">COE </w:t>
      </w:r>
      <w:r w:rsidRPr="00473C9A">
        <w:rPr>
          <w:rFonts w:cstheme="minorHAnsi"/>
        </w:rPr>
        <w:t xml:space="preserve">shall provide to the Contractor existing technical documentation including marketing information, requirements documents, functional specifications and design documentation suitable for assisting </w:t>
      </w:r>
      <w:r w:rsidR="003F6448">
        <w:rPr>
          <w:rFonts w:cstheme="minorHAnsi"/>
        </w:rPr>
        <w:t>the Contractor</w:t>
      </w:r>
      <w:r w:rsidRPr="00473C9A">
        <w:rPr>
          <w:rFonts w:cstheme="minorHAnsi"/>
        </w:rPr>
        <w:t xml:space="preserve"> in preparation of the security architecture</w:t>
      </w:r>
      <w:r>
        <w:rPr>
          <w:rFonts w:cstheme="minorHAnsi"/>
        </w:rPr>
        <w:t xml:space="preserve"> </w:t>
      </w:r>
      <w:r w:rsidRPr="00473C9A">
        <w:rPr>
          <w:rFonts w:cstheme="minorHAnsi"/>
        </w:rPr>
        <w:t xml:space="preserve">and functional </w:t>
      </w:r>
      <w:proofErr w:type="gramStart"/>
      <w:r w:rsidRPr="00473C9A">
        <w:rPr>
          <w:rFonts w:cstheme="minorHAnsi"/>
        </w:rPr>
        <w:t>specification</w:t>
      </w:r>
      <w:proofErr w:type="gramEnd"/>
      <w:r w:rsidRPr="00473C9A">
        <w:rPr>
          <w:rFonts w:cstheme="minorHAnsi"/>
        </w:rPr>
        <w:t xml:space="preserve"> documents.</w:t>
      </w:r>
    </w:p>
    <w:p w:rsidR="00473C9A" w:rsidRPr="00473C9A" w:rsidRDefault="00473C9A" w:rsidP="00473C9A">
      <w:pPr>
        <w:pStyle w:val="ListParagraph"/>
        <w:numPr>
          <w:ilvl w:val="0"/>
          <w:numId w:val="5"/>
        </w:numPr>
        <w:autoSpaceDE w:val="0"/>
        <w:autoSpaceDN w:val="0"/>
        <w:adjustRightInd w:val="0"/>
        <w:spacing w:after="0" w:line="240" w:lineRule="auto"/>
        <w:rPr>
          <w:rFonts w:cstheme="minorHAnsi"/>
        </w:rPr>
      </w:pPr>
      <w:r w:rsidRPr="00473C9A">
        <w:rPr>
          <w:rFonts w:cstheme="minorHAnsi"/>
          <w:b/>
          <w:bCs/>
        </w:rPr>
        <w:t xml:space="preserve">The Contractor </w:t>
      </w:r>
      <w:r w:rsidRPr="00473C9A">
        <w:rPr>
          <w:rFonts w:cstheme="minorHAnsi"/>
        </w:rPr>
        <w:t>will generate a Functional Specification, Security Architecture</w:t>
      </w:r>
      <w:r>
        <w:rPr>
          <w:rFonts w:cstheme="minorHAnsi"/>
        </w:rPr>
        <w:t xml:space="preserve"> </w:t>
      </w:r>
      <w:r w:rsidRPr="00473C9A">
        <w:rPr>
          <w:rFonts w:cstheme="minorHAnsi"/>
        </w:rPr>
        <w:t xml:space="preserve">Description, and </w:t>
      </w:r>
      <w:r w:rsidR="00075D98" w:rsidRPr="00473C9A">
        <w:rPr>
          <w:rFonts w:cstheme="minorHAnsi"/>
        </w:rPr>
        <w:t xml:space="preserve">Target of Evaluation (TOE) </w:t>
      </w:r>
      <w:r w:rsidRPr="00473C9A">
        <w:rPr>
          <w:rFonts w:cstheme="minorHAnsi"/>
        </w:rPr>
        <w:t>Design Specification based on the information provided by COE.</w:t>
      </w:r>
    </w:p>
    <w:p w:rsidR="00473C9A" w:rsidRPr="00473C9A" w:rsidRDefault="00473C9A" w:rsidP="00473C9A">
      <w:pPr>
        <w:pStyle w:val="ListParagraph"/>
        <w:numPr>
          <w:ilvl w:val="0"/>
          <w:numId w:val="5"/>
        </w:numPr>
        <w:autoSpaceDE w:val="0"/>
        <w:autoSpaceDN w:val="0"/>
        <w:adjustRightInd w:val="0"/>
        <w:spacing w:after="0" w:line="240" w:lineRule="auto"/>
        <w:rPr>
          <w:rFonts w:cstheme="minorHAnsi"/>
        </w:rPr>
      </w:pPr>
      <w:r w:rsidRPr="00473C9A">
        <w:rPr>
          <w:rFonts w:cstheme="minorHAnsi"/>
          <w:b/>
          <w:bCs/>
        </w:rPr>
        <w:t xml:space="preserve">The Contractor </w:t>
      </w:r>
      <w:r w:rsidRPr="00473C9A">
        <w:rPr>
          <w:rFonts w:cstheme="minorHAnsi"/>
        </w:rPr>
        <w:t>shall provide comments regarding changes required to existing user and</w:t>
      </w:r>
      <w:r>
        <w:rPr>
          <w:rFonts w:cstheme="minorHAnsi"/>
        </w:rPr>
        <w:t xml:space="preserve"> </w:t>
      </w:r>
      <w:r w:rsidRPr="00473C9A">
        <w:rPr>
          <w:rFonts w:cstheme="minorHAnsi"/>
        </w:rPr>
        <w:t>administrator documentation to address Common Criteria requirements.</w:t>
      </w:r>
    </w:p>
    <w:p w:rsidR="00473C9A" w:rsidRPr="00473C9A" w:rsidRDefault="00473C9A" w:rsidP="00473C9A">
      <w:pPr>
        <w:pStyle w:val="ListParagraph"/>
        <w:numPr>
          <w:ilvl w:val="0"/>
          <w:numId w:val="5"/>
        </w:numPr>
        <w:autoSpaceDE w:val="0"/>
        <w:autoSpaceDN w:val="0"/>
        <w:adjustRightInd w:val="0"/>
        <w:spacing w:after="0" w:line="240" w:lineRule="auto"/>
        <w:rPr>
          <w:rFonts w:cstheme="minorHAnsi"/>
        </w:rPr>
      </w:pPr>
      <w:r w:rsidRPr="00473C9A">
        <w:rPr>
          <w:rFonts w:cstheme="minorHAnsi"/>
          <w:b/>
          <w:bCs/>
        </w:rPr>
        <w:t xml:space="preserve">COE </w:t>
      </w:r>
      <w:r w:rsidRPr="00473C9A">
        <w:rPr>
          <w:rFonts w:cstheme="minorHAnsi"/>
        </w:rPr>
        <w:t>shall provide any existing security and functional testing executed by COE.</w:t>
      </w:r>
    </w:p>
    <w:p w:rsidR="00473C9A" w:rsidRPr="00473C9A" w:rsidRDefault="00473C9A" w:rsidP="00473C9A">
      <w:pPr>
        <w:pStyle w:val="ListParagraph"/>
        <w:numPr>
          <w:ilvl w:val="0"/>
          <w:numId w:val="5"/>
        </w:numPr>
        <w:autoSpaceDE w:val="0"/>
        <w:autoSpaceDN w:val="0"/>
        <w:adjustRightInd w:val="0"/>
        <w:spacing w:after="0" w:line="240" w:lineRule="auto"/>
        <w:rPr>
          <w:rFonts w:cstheme="minorHAnsi"/>
        </w:rPr>
      </w:pPr>
      <w:r w:rsidRPr="00473C9A">
        <w:rPr>
          <w:rFonts w:cstheme="minorHAnsi"/>
          <w:b/>
          <w:bCs/>
        </w:rPr>
        <w:t xml:space="preserve">The Contractor </w:t>
      </w:r>
      <w:r w:rsidRPr="00473C9A">
        <w:rPr>
          <w:rFonts w:cstheme="minorHAnsi"/>
        </w:rPr>
        <w:t>will generate a test plan and procedures including expected and actual</w:t>
      </w:r>
      <w:r>
        <w:rPr>
          <w:rFonts w:cstheme="minorHAnsi"/>
        </w:rPr>
        <w:t xml:space="preserve"> </w:t>
      </w:r>
      <w:r w:rsidRPr="00473C9A">
        <w:rPr>
          <w:rFonts w:cstheme="minorHAnsi"/>
        </w:rPr>
        <w:t>results of testing.</w:t>
      </w:r>
    </w:p>
    <w:p w:rsidR="00473C9A" w:rsidRPr="003F6448" w:rsidRDefault="00473C9A" w:rsidP="00473C9A">
      <w:pPr>
        <w:autoSpaceDE w:val="0"/>
        <w:autoSpaceDN w:val="0"/>
        <w:adjustRightInd w:val="0"/>
        <w:spacing w:after="0" w:line="240" w:lineRule="auto"/>
        <w:rPr>
          <w:rFonts w:asciiTheme="majorHAnsi" w:hAnsiTheme="majorHAnsi" w:cstheme="minorHAnsi"/>
          <w:b/>
          <w:bCs/>
        </w:rPr>
      </w:pPr>
      <w:r w:rsidRPr="003F6448">
        <w:rPr>
          <w:rFonts w:asciiTheme="majorHAnsi" w:hAnsiTheme="majorHAnsi" w:cstheme="minorHAnsi"/>
          <w:b/>
          <w:bCs/>
        </w:rPr>
        <w:t>Deliverables</w:t>
      </w:r>
    </w:p>
    <w:p w:rsidR="00473C9A" w:rsidRPr="00473C9A" w:rsidRDefault="003F6448" w:rsidP="00473C9A">
      <w:pPr>
        <w:autoSpaceDE w:val="0"/>
        <w:autoSpaceDN w:val="0"/>
        <w:adjustRightInd w:val="0"/>
        <w:spacing w:after="0" w:line="240" w:lineRule="auto"/>
        <w:rPr>
          <w:rFonts w:cstheme="minorHAnsi"/>
          <w:b/>
          <w:bCs/>
        </w:rPr>
      </w:pPr>
      <w:r>
        <w:rPr>
          <w:rFonts w:cstheme="minorHAnsi"/>
          <w:b/>
          <w:bCs/>
        </w:rPr>
        <w:t>COE</w:t>
      </w:r>
    </w:p>
    <w:p w:rsidR="00473C9A" w:rsidRPr="00473C9A" w:rsidRDefault="00075D98" w:rsidP="00473C9A">
      <w:pPr>
        <w:pStyle w:val="ListParagraph"/>
        <w:numPr>
          <w:ilvl w:val="0"/>
          <w:numId w:val="5"/>
        </w:numPr>
        <w:autoSpaceDE w:val="0"/>
        <w:autoSpaceDN w:val="0"/>
        <w:adjustRightInd w:val="0"/>
        <w:spacing w:after="0" w:line="240" w:lineRule="auto"/>
        <w:rPr>
          <w:rFonts w:cstheme="minorHAnsi"/>
        </w:rPr>
      </w:pPr>
      <w:r>
        <w:rPr>
          <w:rFonts w:cstheme="minorHAnsi"/>
          <w:b/>
          <w:bCs/>
        </w:rPr>
        <w:t>Software Product</w:t>
      </w:r>
      <w:r w:rsidR="00473C9A" w:rsidRPr="00473C9A">
        <w:rPr>
          <w:rFonts w:cstheme="minorHAnsi"/>
          <w:b/>
          <w:bCs/>
        </w:rPr>
        <w:t xml:space="preserve"> </w:t>
      </w:r>
      <w:r w:rsidR="00473C9A" w:rsidRPr="00473C9A">
        <w:rPr>
          <w:rFonts w:cstheme="minorHAnsi"/>
        </w:rPr>
        <w:t xml:space="preserve">either at COE facilities or </w:t>
      </w:r>
      <w:r w:rsidR="00473C9A">
        <w:rPr>
          <w:rFonts w:cstheme="minorHAnsi"/>
        </w:rPr>
        <w:t>the Contractor’s</w:t>
      </w:r>
      <w:r w:rsidR="00473C9A" w:rsidRPr="00473C9A">
        <w:rPr>
          <w:rFonts w:cstheme="minorHAnsi"/>
        </w:rPr>
        <w:t xml:space="preserve"> facilities.</w:t>
      </w:r>
    </w:p>
    <w:p w:rsidR="00473C9A" w:rsidRPr="00473C9A" w:rsidRDefault="00473C9A" w:rsidP="00473C9A">
      <w:pPr>
        <w:pStyle w:val="ListParagraph"/>
        <w:numPr>
          <w:ilvl w:val="0"/>
          <w:numId w:val="5"/>
        </w:numPr>
        <w:autoSpaceDE w:val="0"/>
        <w:autoSpaceDN w:val="0"/>
        <w:adjustRightInd w:val="0"/>
        <w:spacing w:after="0" w:line="240" w:lineRule="auto"/>
        <w:rPr>
          <w:rFonts w:cstheme="minorHAnsi"/>
        </w:rPr>
      </w:pPr>
      <w:r w:rsidRPr="00473C9A">
        <w:rPr>
          <w:rFonts w:cstheme="minorHAnsi"/>
          <w:b/>
          <w:bCs/>
        </w:rPr>
        <w:t xml:space="preserve">Engineering representative </w:t>
      </w:r>
      <w:r w:rsidRPr="00473C9A">
        <w:rPr>
          <w:rFonts w:cstheme="minorHAnsi"/>
        </w:rPr>
        <w:t xml:space="preserve">knowledgeable of </w:t>
      </w:r>
      <w:r w:rsidR="00075D98">
        <w:rPr>
          <w:rFonts w:cstheme="minorHAnsi"/>
        </w:rPr>
        <w:t>Software Product</w:t>
      </w:r>
    </w:p>
    <w:p w:rsidR="00473C9A" w:rsidRPr="00473C9A" w:rsidRDefault="00473C9A" w:rsidP="00473C9A">
      <w:pPr>
        <w:pStyle w:val="ListParagraph"/>
        <w:numPr>
          <w:ilvl w:val="0"/>
          <w:numId w:val="5"/>
        </w:numPr>
        <w:autoSpaceDE w:val="0"/>
        <w:autoSpaceDN w:val="0"/>
        <w:adjustRightInd w:val="0"/>
        <w:spacing w:after="0" w:line="240" w:lineRule="auto"/>
        <w:rPr>
          <w:rFonts w:cstheme="minorHAnsi"/>
        </w:rPr>
      </w:pPr>
      <w:r w:rsidRPr="00473C9A">
        <w:rPr>
          <w:rFonts w:cstheme="minorHAnsi"/>
          <w:b/>
          <w:bCs/>
        </w:rPr>
        <w:t xml:space="preserve">Configuration management </w:t>
      </w:r>
      <w:r w:rsidRPr="00473C9A">
        <w:rPr>
          <w:rFonts w:cstheme="minorHAnsi"/>
        </w:rPr>
        <w:t>processes used (verbal or written)</w:t>
      </w:r>
    </w:p>
    <w:p w:rsidR="00473C9A" w:rsidRPr="00473C9A" w:rsidRDefault="00473C9A" w:rsidP="00473C9A">
      <w:pPr>
        <w:pStyle w:val="ListParagraph"/>
        <w:numPr>
          <w:ilvl w:val="0"/>
          <w:numId w:val="5"/>
        </w:numPr>
        <w:autoSpaceDE w:val="0"/>
        <w:autoSpaceDN w:val="0"/>
        <w:adjustRightInd w:val="0"/>
        <w:spacing w:after="0" w:line="240" w:lineRule="auto"/>
        <w:rPr>
          <w:rFonts w:cstheme="minorHAnsi"/>
        </w:rPr>
      </w:pPr>
      <w:r w:rsidRPr="00473C9A">
        <w:rPr>
          <w:rFonts w:cstheme="minorHAnsi"/>
          <w:b/>
          <w:bCs/>
        </w:rPr>
        <w:t xml:space="preserve">User/Administrator guidance </w:t>
      </w:r>
      <w:r w:rsidRPr="00473C9A">
        <w:rPr>
          <w:rFonts w:cstheme="minorHAnsi"/>
        </w:rPr>
        <w:t>provided to end-users</w:t>
      </w:r>
    </w:p>
    <w:p w:rsidR="00473C9A" w:rsidRPr="00473C9A" w:rsidRDefault="00473C9A" w:rsidP="00473C9A">
      <w:pPr>
        <w:pStyle w:val="ListParagraph"/>
        <w:numPr>
          <w:ilvl w:val="0"/>
          <w:numId w:val="5"/>
        </w:numPr>
        <w:autoSpaceDE w:val="0"/>
        <w:autoSpaceDN w:val="0"/>
        <w:adjustRightInd w:val="0"/>
        <w:spacing w:after="0" w:line="240" w:lineRule="auto"/>
        <w:rPr>
          <w:rFonts w:cstheme="minorHAnsi"/>
        </w:rPr>
      </w:pPr>
      <w:r w:rsidRPr="00473C9A">
        <w:rPr>
          <w:rFonts w:cstheme="minorHAnsi"/>
          <w:b/>
          <w:bCs/>
        </w:rPr>
        <w:t xml:space="preserve">Technical documentation </w:t>
      </w:r>
      <w:r w:rsidRPr="00473C9A">
        <w:rPr>
          <w:rFonts w:cstheme="minorHAnsi"/>
        </w:rPr>
        <w:t xml:space="preserve">available about </w:t>
      </w:r>
      <w:r w:rsidR="00075D98">
        <w:rPr>
          <w:rFonts w:cstheme="minorHAnsi"/>
        </w:rPr>
        <w:t>Software Product</w:t>
      </w:r>
    </w:p>
    <w:p w:rsidR="00473C9A" w:rsidRPr="00473C9A" w:rsidRDefault="00473C9A" w:rsidP="00473C9A">
      <w:pPr>
        <w:pStyle w:val="ListParagraph"/>
        <w:numPr>
          <w:ilvl w:val="0"/>
          <w:numId w:val="5"/>
        </w:numPr>
        <w:rPr>
          <w:rFonts w:cstheme="minorHAnsi"/>
        </w:rPr>
      </w:pPr>
      <w:r w:rsidRPr="00473C9A">
        <w:rPr>
          <w:rFonts w:cstheme="minorHAnsi"/>
          <w:b/>
          <w:bCs/>
        </w:rPr>
        <w:t xml:space="preserve">Testing documentation </w:t>
      </w:r>
      <w:r w:rsidRPr="00473C9A">
        <w:rPr>
          <w:rFonts w:cstheme="minorHAnsi"/>
        </w:rPr>
        <w:t>as available</w:t>
      </w:r>
    </w:p>
    <w:p w:rsidR="00473C9A" w:rsidRPr="00473C9A" w:rsidRDefault="00473C9A" w:rsidP="00473C9A">
      <w:pPr>
        <w:rPr>
          <w:rFonts w:cstheme="minorHAnsi"/>
        </w:rPr>
      </w:pPr>
      <w:r w:rsidRPr="00473C9A">
        <w:rPr>
          <w:rFonts w:cstheme="minorHAnsi"/>
        </w:rPr>
        <w:br w:type="page"/>
      </w:r>
    </w:p>
    <w:p w:rsidR="00473C9A" w:rsidRPr="00473C9A" w:rsidRDefault="00473C9A" w:rsidP="00473C9A">
      <w:pPr>
        <w:autoSpaceDE w:val="0"/>
        <w:autoSpaceDN w:val="0"/>
        <w:adjustRightInd w:val="0"/>
        <w:spacing w:after="0" w:line="240" w:lineRule="auto"/>
        <w:rPr>
          <w:rFonts w:cstheme="minorHAnsi"/>
          <w:b/>
          <w:bCs/>
        </w:rPr>
      </w:pPr>
      <w:r w:rsidRPr="00473C9A">
        <w:rPr>
          <w:rFonts w:cstheme="minorHAnsi"/>
          <w:b/>
          <w:bCs/>
        </w:rPr>
        <w:lastRenderedPageBreak/>
        <w:t>C</w:t>
      </w:r>
      <w:r w:rsidR="003F6448">
        <w:rPr>
          <w:rFonts w:cstheme="minorHAnsi"/>
          <w:b/>
          <w:bCs/>
        </w:rPr>
        <w:t>ontractor</w:t>
      </w:r>
    </w:p>
    <w:p w:rsidR="00473C9A" w:rsidRPr="003F6448" w:rsidRDefault="00473C9A" w:rsidP="003F6448">
      <w:pPr>
        <w:pStyle w:val="ListParagraph"/>
        <w:numPr>
          <w:ilvl w:val="0"/>
          <w:numId w:val="10"/>
        </w:numPr>
        <w:autoSpaceDE w:val="0"/>
        <w:autoSpaceDN w:val="0"/>
        <w:adjustRightInd w:val="0"/>
        <w:spacing w:after="0" w:line="240" w:lineRule="auto"/>
        <w:rPr>
          <w:rFonts w:cstheme="minorHAnsi"/>
        </w:rPr>
      </w:pPr>
      <w:r w:rsidRPr="003F6448">
        <w:rPr>
          <w:rFonts w:cstheme="minorHAnsi"/>
          <w:b/>
          <w:bCs/>
        </w:rPr>
        <w:t xml:space="preserve">Security Target </w:t>
      </w:r>
      <w:r w:rsidRPr="003F6448">
        <w:rPr>
          <w:rFonts w:cstheme="minorHAnsi"/>
        </w:rPr>
        <w:t>for the Target of Evaluation (TOE) that is in condition to proceed</w:t>
      </w:r>
      <w:r w:rsidR="003F6448">
        <w:rPr>
          <w:rFonts w:cstheme="minorHAnsi"/>
        </w:rPr>
        <w:t xml:space="preserve"> </w:t>
      </w:r>
      <w:r w:rsidRPr="003F6448">
        <w:rPr>
          <w:rFonts w:cstheme="minorHAnsi"/>
        </w:rPr>
        <w:t>with the evaluation or an evaluated Security Target by a CCTL.</w:t>
      </w:r>
    </w:p>
    <w:p w:rsidR="00473C9A" w:rsidRPr="003F6448" w:rsidRDefault="00473C9A" w:rsidP="003F6448">
      <w:pPr>
        <w:pStyle w:val="ListParagraph"/>
        <w:numPr>
          <w:ilvl w:val="0"/>
          <w:numId w:val="10"/>
        </w:numPr>
        <w:autoSpaceDE w:val="0"/>
        <w:autoSpaceDN w:val="0"/>
        <w:adjustRightInd w:val="0"/>
        <w:spacing w:after="0" w:line="240" w:lineRule="auto"/>
        <w:rPr>
          <w:rFonts w:cstheme="minorHAnsi"/>
        </w:rPr>
      </w:pPr>
      <w:r w:rsidRPr="003F6448">
        <w:rPr>
          <w:rFonts w:cstheme="minorHAnsi"/>
          <w:b/>
          <w:bCs/>
        </w:rPr>
        <w:t xml:space="preserve">Configuration Management </w:t>
      </w:r>
      <w:r w:rsidRPr="003F6448">
        <w:rPr>
          <w:rFonts w:cstheme="minorHAnsi"/>
        </w:rPr>
        <w:t>(lists of software elements of the TOE), which include</w:t>
      </w:r>
      <w:r w:rsidR="003F6448" w:rsidRPr="003F6448">
        <w:rPr>
          <w:rFonts w:cstheme="minorHAnsi"/>
        </w:rPr>
        <w:t xml:space="preserve"> </w:t>
      </w:r>
      <w:r w:rsidRPr="003F6448">
        <w:rPr>
          <w:rFonts w:cstheme="minorHAnsi"/>
        </w:rPr>
        <w:t>identifying information such as version numbers; a description of the Configuration</w:t>
      </w:r>
      <w:r w:rsidR="003F6448" w:rsidRPr="003F6448">
        <w:rPr>
          <w:rFonts w:cstheme="minorHAnsi"/>
        </w:rPr>
        <w:t xml:space="preserve"> </w:t>
      </w:r>
      <w:r w:rsidRPr="003F6448">
        <w:rPr>
          <w:rFonts w:cstheme="minorHAnsi"/>
        </w:rPr>
        <w:t>Management system and versioning is accomplished and automated aspects of the</w:t>
      </w:r>
      <w:r w:rsidR="003F6448">
        <w:rPr>
          <w:rFonts w:cstheme="minorHAnsi"/>
        </w:rPr>
        <w:t xml:space="preserve"> </w:t>
      </w:r>
      <w:r w:rsidRPr="003F6448">
        <w:rPr>
          <w:rFonts w:cstheme="minorHAnsi"/>
        </w:rPr>
        <w:t>system.</w:t>
      </w:r>
    </w:p>
    <w:p w:rsidR="00473C9A" w:rsidRPr="003F6448" w:rsidRDefault="00473C9A" w:rsidP="003F6448">
      <w:pPr>
        <w:pStyle w:val="ListParagraph"/>
        <w:numPr>
          <w:ilvl w:val="0"/>
          <w:numId w:val="10"/>
        </w:numPr>
        <w:autoSpaceDE w:val="0"/>
        <w:autoSpaceDN w:val="0"/>
        <w:adjustRightInd w:val="0"/>
        <w:spacing w:after="0" w:line="240" w:lineRule="auto"/>
        <w:rPr>
          <w:rFonts w:cstheme="minorHAnsi"/>
        </w:rPr>
      </w:pPr>
      <w:r w:rsidRPr="003F6448">
        <w:rPr>
          <w:rFonts w:cstheme="minorHAnsi"/>
          <w:b/>
          <w:bCs/>
        </w:rPr>
        <w:t>Functional Specification</w:t>
      </w:r>
      <w:r w:rsidRPr="003F6448">
        <w:rPr>
          <w:rFonts w:cstheme="minorHAnsi"/>
        </w:rPr>
        <w:t>, which describes all security functions and all external</w:t>
      </w:r>
      <w:r w:rsidR="003F6448">
        <w:rPr>
          <w:rFonts w:cstheme="minorHAnsi"/>
        </w:rPr>
        <w:t xml:space="preserve"> </w:t>
      </w:r>
      <w:r w:rsidRPr="003F6448">
        <w:rPr>
          <w:rFonts w:cstheme="minorHAnsi"/>
        </w:rPr>
        <w:t>interfaces.</w:t>
      </w:r>
    </w:p>
    <w:p w:rsidR="00473C9A" w:rsidRPr="003F6448" w:rsidRDefault="00473C9A" w:rsidP="003F6448">
      <w:pPr>
        <w:pStyle w:val="ListParagraph"/>
        <w:numPr>
          <w:ilvl w:val="0"/>
          <w:numId w:val="10"/>
        </w:numPr>
        <w:autoSpaceDE w:val="0"/>
        <w:autoSpaceDN w:val="0"/>
        <w:adjustRightInd w:val="0"/>
        <w:spacing w:after="0" w:line="240" w:lineRule="auto"/>
        <w:rPr>
          <w:rFonts w:cstheme="minorHAnsi"/>
        </w:rPr>
      </w:pPr>
      <w:r w:rsidRPr="003F6448">
        <w:rPr>
          <w:rFonts w:cstheme="minorHAnsi"/>
          <w:b/>
          <w:bCs/>
        </w:rPr>
        <w:t>Toe Design Specification</w:t>
      </w:r>
      <w:r w:rsidRPr="003F6448">
        <w:rPr>
          <w:rFonts w:cstheme="minorHAnsi"/>
        </w:rPr>
        <w:t>, which defines subsystems; describes security functionality</w:t>
      </w:r>
      <w:r w:rsidR="003F6448" w:rsidRPr="003F6448">
        <w:rPr>
          <w:rFonts w:cstheme="minorHAnsi"/>
        </w:rPr>
        <w:t xml:space="preserve"> </w:t>
      </w:r>
      <w:r w:rsidRPr="003F6448">
        <w:rPr>
          <w:rFonts w:cstheme="minorHAnsi"/>
        </w:rPr>
        <w:t>of sub-systems; identifies underlying hardware, firmware and software; identifies</w:t>
      </w:r>
      <w:r w:rsidR="003F6448">
        <w:rPr>
          <w:rFonts w:cstheme="minorHAnsi"/>
        </w:rPr>
        <w:t xml:space="preserve"> </w:t>
      </w:r>
      <w:r w:rsidRPr="003F6448">
        <w:rPr>
          <w:rFonts w:cstheme="minorHAnsi"/>
        </w:rPr>
        <w:t>interfaces to sub-systems.</w:t>
      </w:r>
    </w:p>
    <w:p w:rsidR="00473C9A" w:rsidRPr="003F6448" w:rsidRDefault="00473C9A" w:rsidP="003F6448">
      <w:pPr>
        <w:pStyle w:val="ListParagraph"/>
        <w:numPr>
          <w:ilvl w:val="0"/>
          <w:numId w:val="10"/>
        </w:numPr>
        <w:autoSpaceDE w:val="0"/>
        <w:autoSpaceDN w:val="0"/>
        <w:adjustRightInd w:val="0"/>
        <w:spacing w:after="0" w:line="240" w:lineRule="auto"/>
        <w:rPr>
          <w:rFonts w:cstheme="minorHAnsi"/>
        </w:rPr>
      </w:pPr>
      <w:r w:rsidRPr="003F6448">
        <w:rPr>
          <w:rFonts w:cstheme="minorHAnsi"/>
          <w:b/>
          <w:bCs/>
        </w:rPr>
        <w:t>Administrator/User Guidance comments</w:t>
      </w:r>
      <w:r w:rsidRPr="003F6448">
        <w:rPr>
          <w:rFonts w:cstheme="minorHAnsi"/>
        </w:rPr>
        <w:t>, describing Administrative functions and</w:t>
      </w:r>
      <w:r w:rsidR="003F6448" w:rsidRPr="003F6448">
        <w:rPr>
          <w:rFonts w:cstheme="minorHAnsi"/>
        </w:rPr>
        <w:t xml:space="preserve"> </w:t>
      </w:r>
      <w:r w:rsidRPr="003F6448">
        <w:rPr>
          <w:rFonts w:cstheme="minorHAnsi"/>
        </w:rPr>
        <w:t>interfaces; warnings about functions and privileges that should be controlled;</w:t>
      </w:r>
      <w:r w:rsidR="003F6448" w:rsidRPr="003F6448">
        <w:rPr>
          <w:rFonts w:cstheme="minorHAnsi"/>
        </w:rPr>
        <w:t xml:space="preserve"> </w:t>
      </w:r>
      <w:r w:rsidRPr="003F6448">
        <w:rPr>
          <w:rFonts w:cstheme="minorHAnsi"/>
        </w:rPr>
        <w:t>assumptions of user behavior; descriptions of all security parameters under the</w:t>
      </w:r>
      <w:r w:rsidR="003F6448" w:rsidRPr="003F6448">
        <w:rPr>
          <w:rFonts w:cstheme="minorHAnsi"/>
        </w:rPr>
        <w:t xml:space="preserve"> </w:t>
      </w:r>
      <w:r w:rsidRPr="003F6448">
        <w:rPr>
          <w:rFonts w:cstheme="minorHAnsi"/>
        </w:rPr>
        <w:t>control of the administrator; description of security relevant events; modes of</w:t>
      </w:r>
      <w:r w:rsidR="003F6448">
        <w:rPr>
          <w:rFonts w:cstheme="minorHAnsi"/>
        </w:rPr>
        <w:t xml:space="preserve"> </w:t>
      </w:r>
      <w:r w:rsidRPr="003F6448">
        <w:rPr>
          <w:rFonts w:cstheme="minorHAnsi"/>
        </w:rPr>
        <w:t>operation of the TOE.</w:t>
      </w:r>
    </w:p>
    <w:p w:rsidR="00473C9A" w:rsidRPr="003F6448" w:rsidRDefault="00473C9A" w:rsidP="003F6448">
      <w:pPr>
        <w:pStyle w:val="ListParagraph"/>
        <w:numPr>
          <w:ilvl w:val="0"/>
          <w:numId w:val="10"/>
        </w:numPr>
        <w:autoSpaceDE w:val="0"/>
        <w:autoSpaceDN w:val="0"/>
        <w:adjustRightInd w:val="0"/>
        <w:spacing w:after="0" w:line="240" w:lineRule="auto"/>
        <w:rPr>
          <w:rFonts w:cstheme="minorHAnsi"/>
        </w:rPr>
      </w:pPr>
      <w:r w:rsidRPr="003F6448">
        <w:rPr>
          <w:rFonts w:cstheme="minorHAnsi"/>
          <w:b/>
          <w:bCs/>
        </w:rPr>
        <w:t>Security Architecture Description</w:t>
      </w:r>
      <w:r w:rsidRPr="003F6448">
        <w:rPr>
          <w:rFonts w:cstheme="minorHAnsi"/>
        </w:rPr>
        <w:t>, which provides a description of the security</w:t>
      </w:r>
      <w:r w:rsidR="003F6448">
        <w:rPr>
          <w:rFonts w:cstheme="minorHAnsi"/>
        </w:rPr>
        <w:t xml:space="preserve"> </w:t>
      </w:r>
      <w:r w:rsidRPr="003F6448">
        <w:rPr>
          <w:rFonts w:cstheme="minorHAnsi"/>
        </w:rPr>
        <w:t>architecture of the TOE.</w:t>
      </w:r>
    </w:p>
    <w:p w:rsidR="00473C9A" w:rsidRPr="003F6448" w:rsidRDefault="00473C9A" w:rsidP="003F6448">
      <w:pPr>
        <w:pStyle w:val="ListParagraph"/>
        <w:numPr>
          <w:ilvl w:val="0"/>
          <w:numId w:val="10"/>
        </w:numPr>
        <w:autoSpaceDE w:val="0"/>
        <w:autoSpaceDN w:val="0"/>
        <w:adjustRightInd w:val="0"/>
        <w:spacing w:after="0" w:line="240" w:lineRule="auto"/>
        <w:rPr>
          <w:rFonts w:cstheme="minorHAnsi"/>
        </w:rPr>
      </w:pPr>
      <w:r w:rsidRPr="003F6448">
        <w:rPr>
          <w:rFonts w:cstheme="minorHAnsi"/>
          <w:b/>
          <w:bCs/>
        </w:rPr>
        <w:t>Life Cycle Documentation</w:t>
      </w:r>
      <w:r w:rsidRPr="003F6448">
        <w:rPr>
          <w:rFonts w:cstheme="minorHAnsi"/>
        </w:rPr>
        <w:t>, which includes secure delivery documentation and flaw</w:t>
      </w:r>
      <w:r w:rsidR="003F6448">
        <w:rPr>
          <w:rFonts w:cstheme="minorHAnsi"/>
        </w:rPr>
        <w:t xml:space="preserve"> </w:t>
      </w:r>
      <w:r w:rsidRPr="003F6448">
        <w:rPr>
          <w:rFonts w:cstheme="minorHAnsi"/>
        </w:rPr>
        <w:t>remediation procedures.</w:t>
      </w:r>
    </w:p>
    <w:p w:rsidR="00473C9A" w:rsidRPr="003F6448" w:rsidRDefault="00473C9A" w:rsidP="003F6448">
      <w:pPr>
        <w:pStyle w:val="ListParagraph"/>
        <w:numPr>
          <w:ilvl w:val="0"/>
          <w:numId w:val="10"/>
        </w:numPr>
        <w:autoSpaceDE w:val="0"/>
        <w:autoSpaceDN w:val="0"/>
        <w:adjustRightInd w:val="0"/>
        <w:spacing w:after="0" w:line="240" w:lineRule="auto"/>
        <w:rPr>
          <w:rFonts w:cstheme="minorHAnsi"/>
        </w:rPr>
      </w:pPr>
      <w:r w:rsidRPr="003F6448">
        <w:rPr>
          <w:rFonts w:cstheme="minorHAnsi"/>
          <w:b/>
          <w:bCs/>
        </w:rPr>
        <w:t xml:space="preserve">Test Documentation </w:t>
      </w:r>
      <w:r w:rsidRPr="003F6448">
        <w:rPr>
          <w:rFonts w:cstheme="minorHAnsi"/>
        </w:rPr>
        <w:t>– Showing test coverage against security functions, Test Plans,</w:t>
      </w:r>
      <w:r w:rsidR="003F6448" w:rsidRPr="003F6448">
        <w:rPr>
          <w:rFonts w:cstheme="minorHAnsi"/>
        </w:rPr>
        <w:t xml:space="preserve"> </w:t>
      </w:r>
      <w:r w:rsidRPr="003F6448">
        <w:rPr>
          <w:rFonts w:cstheme="minorHAnsi"/>
        </w:rPr>
        <w:t>Test Procedures, which include detailed scenarios, expected results, and actual</w:t>
      </w:r>
      <w:r w:rsidR="003F6448">
        <w:rPr>
          <w:rFonts w:cstheme="minorHAnsi"/>
        </w:rPr>
        <w:t xml:space="preserve"> </w:t>
      </w:r>
      <w:r w:rsidRPr="003F6448">
        <w:rPr>
          <w:rFonts w:cstheme="minorHAnsi"/>
        </w:rPr>
        <w:t>results.</w:t>
      </w:r>
    </w:p>
    <w:p w:rsidR="00473C9A" w:rsidRPr="003F6448" w:rsidRDefault="00473C9A" w:rsidP="00473C9A">
      <w:pPr>
        <w:autoSpaceDE w:val="0"/>
        <w:autoSpaceDN w:val="0"/>
        <w:adjustRightInd w:val="0"/>
        <w:spacing w:after="0" w:line="240" w:lineRule="auto"/>
        <w:rPr>
          <w:rFonts w:asciiTheme="majorHAnsi" w:hAnsiTheme="majorHAnsi" w:cstheme="minorHAnsi"/>
          <w:b/>
          <w:bCs/>
        </w:rPr>
      </w:pPr>
      <w:r w:rsidRPr="003F6448">
        <w:rPr>
          <w:rFonts w:asciiTheme="majorHAnsi" w:hAnsiTheme="majorHAnsi" w:cstheme="minorHAnsi"/>
          <w:b/>
          <w:bCs/>
        </w:rPr>
        <w:t>Cost Estimate</w:t>
      </w:r>
    </w:p>
    <w:p w:rsidR="00473C9A" w:rsidRPr="00473C9A" w:rsidRDefault="00473C9A" w:rsidP="00473C9A">
      <w:pPr>
        <w:autoSpaceDE w:val="0"/>
        <w:autoSpaceDN w:val="0"/>
        <w:adjustRightInd w:val="0"/>
        <w:spacing w:after="0" w:line="240" w:lineRule="auto"/>
        <w:rPr>
          <w:rFonts w:cstheme="minorHAnsi"/>
          <w:b/>
          <w:bCs/>
        </w:rPr>
      </w:pPr>
      <w:r w:rsidRPr="00473C9A">
        <w:rPr>
          <w:rFonts w:cstheme="minorHAnsi"/>
          <w:b/>
          <w:bCs/>
        </w:rPr>
        <w:t>Milestone Projected Completion Cost</w:t>
      </w:r>
    </w:p>
    <w:tbl>
      <w:tblPr>
        <w:tblW w:w="8925" w:type="dxa"/>
        <w:tblInd w:w="93" w:type="dxa"/>
        <w:tblLook w:val="04A0" w:firstRow="1" w:lastRow="0" w:firstColumn="1" w:lastColumn="0" w:noHBand="0" w:noVBand="1"/>
      </w:tblPr>
      <w:tblGrid>
        <w:gridCol w:w="3960"/>
        <w:gridCol w:w="1545"/>
        <w:gridCol w:w="1800"/>
        <w:gridCol w:w="1620"/>
      </w:tblGrid>
      <w:tr w:rsidR="001A0E47" w:rsidRPr="001A0E47" w:rsidTr="001A0E47">
        <w:trPr>
          <w:trHeight w:val="300"/>
        </w:trPr>
        <w:tc>
          <w:tcPr>
            <w:tcW w:w="3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A0E47" w:rsidRPr="001A0E47" w:rsidRDefault="001A0E47" w:rsidP="001A0E47">
            <w:pPr>
              <w:spacing w:after="0" w:line="240" w:lineRule="auto"/>
              <w:jc w:val="center"/>
              <w:rPr>
                <w:rFonts w:ascii="Calibri" w:eastAsia="Times New Roman" w:hAnsi="Calibri" w:cs="Calibri"/>
                <w:b/>
                <w:bCs/>
                <w:color w:val="000000"/>
              </w:rPr>
            </w:pPr>
            <w:r w:rsidRPr="001A0E47">
              <w:rPr>
                <w:rFonts w:ascii="Calibri" w:eastAsia="Times New Roman" w:hAnsi="Calibri" w:cs="Calibri"/>
                <w:b/>
                <w:bCs/>
                <w:color w:val="000000"/>
              </w:rPr>
              <w:t>Task</w:t>
            </w:r>
          </w:p>
        </w:tc>
        <w:tc>
          <w:tcPr>
            <w:tcW w:w="1545" w:type="dxa"/>
            <w:tcBorders>
              <w:top w:val="single" w:sz="4" w:space="0" w:color="auto"/>
              <w:left w:val="nil"/>
              <w:bottom w:val="single" w:sz="4" w:space="0" w:color="auto"/>
              <w:right w:val="single" w:sz="4" w:space="0" w:color="auto"/>
            </w:tcBorders>
            <w:shd w:val="clear" w:color="auto" w:fill="auto"/>
            <w:noWrap/>
            <w:vAlign w:val="bottom"/>
            <w:hideMark/>
          </w:tcPr>
          <w:p w:rsidR="001A0E47" w:rsidRPr="001A0E47" w:rsidRDefault="001A0E47" w:rsidP="001A0E47">
            <w:pPr>
              <w:spacing w:after="0" w:line="240" w:lineRule="auto"/>
              <w:jc w:val="center"/>
              <w:rPr>
                <w:rFonts w:ascii="Calibri" w:eastAsia="Times New Roman" w:hAnsi="Calibri" w:cs="Calibri"/>
                <w:b/>
                <w:bCs/>
                <w:color w:val="000000"/>
              </w:rPr>
            </w:pPr>
            <w:r w:rsidRPr="001A0E47">
              <w:rPr>
                <w:rFonts w:ascii="Calibri" w:eastAsia="Times New Roman" w:hAnsi="Calibri" w:cs="Calibri"/>
                <w:b/>
                <w:bCs/>
                <w:color w:val="000000"/>
              </w:rPr>
              <w:t>Hours</w:t>
            </w:r>
          </w:p>
        </w:tc>
        <w:tc>
          <w:tcPr>
            <w:tcW w:w="1800" w:type="dxa"/>
            <w:tcBorders>
              <w:top w:val="single" w:sz="4" w:space="0" w:color="auto"/>
              <w:left w:val="nil"/>
              <w:bottom w:val="single" w:sz="4" w:space="0" w:color="auto"/>
              <w:right w:val="single" w:sz="4" w:space="0" w:color="auto"/>
            </w:tcBorders>
            <w:shd w:val="clear" w:color="auto" w:fill="auto"/>
            <w:noWrap/>
            <w:vAlign w:val="bottom"/>
            <w:hideMark/>
          </w:tcPr>
          <w:p w:rsidR="001A0E47" w:rsidRDefault="001A0E47" w:rsidP="001A0E47">
            <w:pPr>
              <w:spacing w:after="0" w:line="240" w:lineRule="auto"/>
              <w:jc w:val="center"/>
              <w:rPr>
                <w:rFonts w:ascii="Calibri" w:eastAsia="Times New Roman" w:hAnsi="Calibri" w:cs="Calibri"/>
                <w:b/>
                <w:bCs/>
                <w:color w:val="000000"/>
              </w:rPr>
            </w:pPr>
            <w:r w:rsidRPr="001A0E47">
              <w:rPr>
                <w:rFonts w:ascii="Calibri" w:eastAsia="Times New Roman" w:hAnsi="Calibri" w:cs="Calibri"/>
                <w:b/>
                <w:bCs/>
                <w:color w:val="000000"/>
              </w:rPr>
              <w:t>Duration</w:t>
            </w:r>
          </w:p>
          <w:p w:rsidR="001A0E47" w:rsidRPr="001A0E47" w:rsidRDefault="001A0E47" w:rsidP="001A0E47">
            <w:pPr>
              <w:spacing w:after="0" w:line="240" w:lineRule="auto"/>
              <w:jc w:val="center"/>
              <w:rPr>
                <w:rFonts w:ascii="Calibri" w:eastAsia="Times New Roman" w:hAnsi="Calibri" w:cs="Calibri"/>
                <w:b/>
                <w:bCs/>
                <w:color w:val="000000"/>
              </w:rPr>
            </w:pPr>
            <w:r w:rsidRPr="001A0E47">
              <w:rPr>
                <w:rFonts w:ascii="Calibri" w:eastAsia="Times New Roman" w:hAnsi="Calibri" w:cs="Calibri"/>
                <w:b/>
                <w:bCs/>
                <w:color w:val="000000"/>
              </w:rPr>
              <w:t xml:space="preserve"> (in Weeks)</w:t>
            </w:r>
          </w:p>
        </w:tc>
        <w:tc>
          <w:tcPr>
            <w:tcW w:w="1620" w:type="dxa"/>
            <w:tcBorders>
              <w:top w:val="single" w:sz="4" w:space="0" w:color="auto"/>
              <w:left w:val="nil"/>
              <w:bottom w:val="single" w:sz="4" w:space="0" w:color="auto"/>
              <w:right w:val="single" w:sz="4" w:space="0" w:color="auto"/>
            </w:tcBorders>
            <w:shd w:val="clear" w:color="auto" w:fill="auto"/>
            <w:noWrap/>
            <w:vAlign w:val="bottom"/>
            <w:hideMark/>
          </w:tcPr>
          <w:p w:rsidR="001A0E47" w:rsidRPr="001A0E47" w:rsidRDefault="001A0E47" w:rsidP="001A0E47">
            <w:pPr>
              <w:spacing w:after="0" w:line="240" w:lineRule="auto"/>
              <w:jc w:val="center"/>
              <w:rPr>
                <w:rFonts w:ascii="Calibri" w:eastAsia="Times New Roman" w:hAnsi="Calibri" w:cs="Calibri"/>
                <w:b/>
                <w:bCs/>
                <w:color w:val="000000"/>
              </w:rPr>
            </w:pPr>
            <w:r w:rsidRPr="001A0E47">
              <w:rPr>
                <w:rFonts w:ascii="Calibri" w:eastAsia="Times New Roman" w:hAnsi="Calibri" w:cs="Calibri"/>
                <w:b/>
                <w:bCs/>
                <w:color w:val="000000"/>
              </w:rPr>
              <w:t>Cost</w:t>
            </w:r>
          </w:p>
        </w:tc>
      </w:tr>
      <w:tr w:rsidR="001A0E47" w:rsidRPr="001A0E47" w:rsidTr="001A0E47">
        <w:trPr>
          <w:trHeight w:val="300"/>
        </w:trPr>
        <w:tc>
          <w:tcPr>
            <w:tcW w:w="3960" w:type="dxa"/>
            <w:tcBorders>
              <w:top w:val="nil"/>
              <w:left w:val="single" w:sz="4" w:space="0" w:color="auto"/>
              <w:bottom w:val="single" w:sz="4" w:space="0" w:color="auto"/>
              <w:right w:val="single" w:sz="4" w:space="0" w:color="auto"/>
            </w:tcBorders>
            <w:shd w:val="clear" w:color="auto" w:fill="auto"/>
            <w:noWrap/>
            <w:vAlign w:val="center"/>
            <w:hideMark/>
          </w:tcPr>
          <w:p w:rsidR="001A0E47" w:rsidRPr="001A0E47" w:rsidRDefault="001A0E47" w:rsidP="001A0E47">
            <w:pPr>
              <w:spacing w:after="0" w:line="240" w:lineRule="auto"/>
              <w:jc w:val="right"/>
              <w:rPr>
                <w:rFonts w:ascii="Calibri" w:eastAsia="Times New Roman" w:hAnsi="Calibri" w:cs="Calibri"/>
                <w:color w:val="000000"/>
              </w:rPr>
            </w:pPr>
            <w:r w:rsidRPr="001A0E47">
              <w:rPr>
                <w:rFonts w:ascii="Calibri" w:eastAsia="Times New Roman" w:hAnsi="Calibri" w:cs="Calibri"/>
                <w:color w:val="000000"/>
              </w:rPr>
              <w:t>Initial Security Target</w:t>
            </w:r>
          </w:p>
        </w:tc>
        <w:tc>
          <w:tcPr>
            <w:tcW w:w="1545" w:type="dxa"/>
            <w:tcBorders>
              <w:top w:val="nil"/>
              <w:left w:val="nil"/>
              <w:bottom w:val="single" w:sz="4" w:space="0" w:color="auto"/>
              <w:right w:val="single" w:sz="4" w:space="0" w:color="auto"/>
            </w:tcBorders>
            <w:shd w:val="clear" w:color="auto" w:fill="auto"/>
            <w:noWrap/>
            <w:vAlign w:val="bottom"/>
            <w:hideMark/>
          </w:tcPr>
          <w:p w:rsidR="001A0E47" w:rsidRPr="001A0E47" w:rsidRDefault="001A0E47" w:rsidP="001A0E47">
            <w:pPr>
              <w:spacing w:after="0" w:line="240" w:lineRule="auto"/>
              <w:rPr>
                <w:rFonts w:ascii="Calibri" w:eastAsia="Times New Roman" w:hAnsi="Calibri" w:cs="Calibri"/>
                <w:color w:val="000000"/>
              </w:rPr>
            </w:pPr>
            <w:r w:rsidRPr="001A0E47">
              <w:rPr>
                <w:rFonts w:ascii="Calibri" w:eastAsia="Times New Roman" w:hAnsi="Calibri" w:cs="Calibri"/>
                <w:color w:val="000000"/>
              </w:rPr>
              <w:t> </w:t>
            </w:r>
          </w:p>
        </w:tc>
        <w:tc>
          <w:tcPr>
            <w:tcW w:w="1800" w:type="dxa"/>
            <w:tcBorders>
              <w:top w:val="nil"/>
              <w:left w:val="nil"/>
              <w:bottom w:val="single" w:sz="4" w:space="0" w:color="auto"/>
              <w:right w:val="single" w:sz="4" w:space="0" w:color="auto"/>
            </w:tcBorders>
            <w:shd w:val="clear" w:color="auto" w:fill="auto"/>
            <w:noWrap/>
            <w:vAlign w:val="bottom"/>
            <w:hideMark/>
          </w:tcPr>
          <w:p w:rsidR="001A0E47" w:rsidRPr="001A0E47" w:rsidRDefault="001A0E47" w:rsidP="001A0E47">
            <w:pPr>
              <w:spacing w:after="0" w:line="240" w:lineRule="auto"/>
              <w:rPr>
                <w:rFonts w:ascii="Calibri" w:eastAsia="Times New Roman" w:hAnsi="Calibri" w:cs="Calibri"/>
                <w:color w:val="000000"/>
              </w:rPr>
            </w:pPr>
            <w:r w:rsidRPr="001A0E47">
              <w:rPr>
                <w:rFonts w:ascii="Calibri" w:eastAsia="Times New Roman" w:hAnsi="Calibri" w:cs="Calibri"/>
                <w:color w:val="000000"/>
              </w:rPr>
              <w:t> </w:t>
            </w:r>
          </w:p>
        </w:tc>
        <w:tc>
          <w:tcPr>
            <w:tcW w:w="1620" w:type="dxa"/>
            <w:tcBorders>
              <w:top w:val="nil"/>
              <w:left w:val="nil"/>
              <w:bottom w:val="single" w:sz="4" w:space="0" w:color="auto"/>
              <w:right w:val="single" w:sz="4" w:space="0" w:color="auto"/>
            </w:tcBorders>
            <w:shd w:val="clear" w:color="auto" w:fill="auto"/>
            <w:noWrap/>
            <w:vAlign w:val="bottom"/>
            <w:hideMark/>
          </w:tcPr>
          <w:p w:rsidR="001A0E47" w:rsidRPr="001A0E47" w:rsidRDefault="001A0E47" w:rsidP="001A0E47">
            <w:pPr>
              <w:spacing w:after="0" w:line="240" w:lineRule="auto"/>
              <w:rPr>
                <w:rFonts w:ascii="Calibri" w:eastAsia="Times New Roman" w:hAnsi="Calibri" w:cs="Calibri"/>
                <w:color w:val="000000"/>
              </w:rPr>
            </w:pPr>
            <w:r w:rsidRPr="001A0E47">
              <w:rPr>
                <w:rFonts w:ascii="Calibri" w:eastAsia="Times New Roman" w:hAnsi="Calibri" w:cs="Calibri"/>
                <w:color w:val="000000"/>
              </w:rPr>
              <w:t> </w:t>
            </w:r>
          </w:p>
        </w:tc>
      </w:tr>
      <w:tr w:rsidR="001A0E47" w:rsidRPr="001A0E47" w:rsidTr="001A0E47">
        <w:trPr>
          <w:trHeight w:val="300"/>
        </w:trPr>
        <w:tc>
          <w:tcPr>
            <w:tcW w:w="3960" w:type="dxa"/>
            <w:tcBorders>
              <w:top w:val="nil"/>
              <w:left w:val="single" w:sz="4" w:space="0" w:color="auto"/>
              <w:bottom w:val="single" w:sz="4" w:space="0" w:color="auto"/>
              <w:right w:val="single" w:sz="4" w:space="0" w:color="auto"/>
            </w:tcBorders>
            <w:shd w:val="clear" w:color="auto" w:fill="auto"/>
            <w:noWrap/>
            <w:vAlign w:val="center"/>
            <w:hideMark/>
          </w:tcPr>
          <w:p w:rsidR="001A0E47" w:rsidRPr="001A0E47" w:rsidRDefault="001A0E47" w:rsidP="001A0E47">
            <w:pPr>
              <w:spacing w:after="0" w:line="240" w:lineRule="auto"/>
              <w:jc w:val="right"/>
              <w:rPr>
                <w:rFonts w:ascii="Calibri" w:eastAsia="Times New Roman" w:hAnsi="Calibri" w:cs="Calibri"/>
                <w:color w:val="000000"/>
              </w:rPr>
            </w:pPr>
            <w:r w:rsidRPr="001A0E47">
              <w:rPr>
                <w:rFonts w:ascii="Calibri" w:eastAsia="Times New Roman" w:hAnsi="Calibri" w:cs="Calibri"/>
                <w:color w:val="000000"/>
              </w:rPr>
              <w:t>Initial Configuration Management</w:t>
            </w:r>
          </w:p>
        </w:tc>
        <w:tc>
          <w:tcPr>
            <w:tcW w:w="1545" w:type="dxa"/>
            <w:tcBorders>
              <w:top w:val="nil"/>
              <w:left w:val="nil"/>
              <w:bottom w:val="single" w:sz="4" w:space="0" w:color="auto"/>
              <w:right w:val="single" w:sz="4" w:space="0" w:color="auto"/>
            </w:tcBorders>
            <w:shd w:val="clear" w:color="auto" w:fill="auto"/>
            <w:noWrap/>
            <w:vAlign w:val="bottom"/>
            <w:hideMark/>
          </w:tcPr>
          <w:p w:rsidR="001A0E47" w:rsidRPr="001A0E47" w:rsidRDefault="001A0E47" w:rsidP="001A0E47">
            <w:pPr>
              <w:spacing w:after="0" w:line="240" w:lineRule="auto"/>
              <w:rPr>
                <w:rFonts w:ascii="Calibri" w:eastAsia="Times New Roman" w:hAnsi="Calibri" w:cs="Calibri"/>
                <w:color w:val="000000"/>
              </w:rPr>
            </w:pPr>
            <w:r w:rsidRPr="001A0E47">
              <w:rPr>
                <w:rFonts w:ascii="Calibri" w:eastAsia="Times New Roman" w:hAnsi="Calibri" w:cs="Calibri"/>
                <w:color w:val="000000"/>
              </w:rPr>
              <w:t> </w:t>
            </w:r>
          </w:p>
        </w:tc>
        <w:tc>
          <w:tcPr>
            <w:tcW w:w="1800" w:type="dxa"/>
            <w:tcBorders>
              <w:top w:val="nil"/>
              <w:left w:val="nil"/>
              <w:bottom w:val="single" w:sz="4" w:space="0" w:color="auto"/>
              <w:right w:val="single" w:sz="4" w:space="0" w:color="auto"/>
            </w:tcBorders>
            <w:shd w:val="clear" w:color="auto" w:fill="auto"/>
            <w:noWrap/>
            <w:vAlign w:val="bottom"/>
            <w:hideMark/>
          </w:tcPr>
          <w:p w:rsidR="001A0E47" w:rsidRPr="001A0E47" w:rsidRDefault="001A0E47" w:rsidP="001A0E47">
            <w:pPr>
              <w:spacing w:after="0" w:line="240" w:lineRule="auto"/>
              <w:rPr>
                <w:rFonts w:ascii="Calibri" w:eastAsia="Times New Roman" w:hAnsi="Calibri" w:cs="Calibri"/>
                <w:color w:val="000000"/>
              </w:rPr>
            </w:pPr>
            <w:r w:rsidRPr="001A0E47">
              <w:rPr>
                <w:rFonts w:ascii="Calibri" w:eastAsia="Times New Roman" w:hAnsi="Calibri" w:cs="Calibri"/>
                <w:color w:val="000000"/>
              </w:rPr>
              <w:t> </w:t>
            </w:r>
          </w:p>
        </w:tc>
        <w:tc>
          <w:tcPr>
            <w:tcW w:w="1620" w:type="dxa"/>
            <w:tcBorders>
              <w:top w:val="nil"/>
              <w:left w:val="nil"/>
              <w:bottom w:val="single" w:sz="4" w:space="0" w:color="auto"/>
              <w:right w:val="single" w:sz="4" w:space="0" w:color="auto"/>
            </w:tcBorders>
            <w:shd w:val="clear" w:color="auto" w:fill="auto"/>
            <w:noWrap/>
            <w:vAlign w:val="bottom"/>
            <w:hideMark/>
          </w:tcPr>
          <w:p w:rsidR="001A0E47" w:rsidRPr="001A0E47" w:rsidRDefault="001A0E47" w:rsidP="001A0E47">
            <w:pPr>
              <w:spacing w:after="0" w:line="240" w:lineRule="auto"/>
              <w:rPr>
                <w:rFonts w:ascii="Calibri" w:eastAsia="Times New Roman" w:hAnsi="Calibri" w:cs="Calibri"/>
                <w:color w:val="000000"/>
              </w:rPr>
            </w:pPr>
            <w:r w:rsidRPr="001A0E47">
              <w:rPr>
                <w:rFonts w:ascii="Calibri" w:eastAsia="Times New Roman" w:hAnsi="Calibri" w:cs="Calibri"/>
                <w:color w:val="000000"/>
              </w:rPr>
              <w:t> </w:t>
            </w:r>
          </w:p>
        </w:tc>
      </w:tr>
      <w:tr w:rsidR="001A0E47" w:rsidRPr="001A0E47" w:rsidTr="001A0E47">
        <w:trPr>
          <w:trHeight w:val="300"/>
        </w:trPr>
        <w:tc>
          <w:tcPr>
            <w:tcW w:w="3960" w:type="dxa"/>
            <w:tcBorders>
              <w:top w:val="nil"/>
              <w:left w:val="single" w:sz="4" w:space="0" w:color="auto"/>
              <w:bottom w:val="single" w:sz="4" w:space="0" w:color="auto"/>
              <w:right w:val="single" w:sz="4" w:space="0" w:color="auto"/>
            </w:tcBorders>
            <w:shd w:val="clear" w:color="auto" w:fill="auto"/>
            <w:noWrap/>
            <w:vAlign w:val="center"/>
            <w:hideMark/>
          </w:tcPr>
          <w:p w:rsidR="001A0E47" w:rsidRPr="001A0E47" w:rsidRDefault="001A0E47" w:rsidP="001A0E47">
            <w:pPr>
              <w:spacing w:after="0" w:line="240" w:lineRule="auto"/>
              <w:jc w:val="right"/>
              <w:rPr>
                <w:rFonts w:ascii="Calibri" w:eastAsia="Times New Roman" w:hAnsi="Calibri" w:cs="Calibri"/>
                <w:color w:val="000000"/>
              </w:rPr>
            </w:pPr>
            <w:r w:rsidRPr="001A0E47">
              <w:rPr>
                <w:rFonts w:ascii="Calibri" w:eastAsia="Times New Roman" w:hAnsi="Calibri" w:cs="Calibri"/>
                <w:color w:val="000000"/>
              </w:rPr>
              <w:t>Initial Functional Specification</w:t>
            </w:r>
          </w:p>
        </w:tc>
        <w:tc>
          <w:tcPr>
            <w:tcW w:w="1545" w:type="dxa"/>
            <w:tcBorders>
              <w:top w:val="nil"/>
              <w:left w:val="nil"/>
              <w:bottom w:val="single" w:sz="4" w:space="0" w:color="auto"/>
              <w:right w:val="single" w:sz="4" w:space="0" w:color="auto"/>
            </w:tcBorders>
            <w:shd w:val="clear" w:color="auto" w:fill="auto"/>
            <w:noWrap/>
            <w:vAlign w:val="bottom"/>
            <w:hideMark/>
          </w:tcPr>
          <w:p w:rsidR="001A0E47" w:rsidRPr="001A0E47" w:rsidRDefault="001A0E47" w:rsidP="001A0E47">
            <w:pPr>
              <w:spacing w:after="0" w:line="240" w:lineRule="auto"/>
              <w:rPr>
                <w:rFonts w:ascii="Calibri" w:eastAsia="Times New Roman" w:hAnsi="Calibri" w:cs="Calibri"/>
                <w:color w:val="000000"/>
              </w:rPr>
            </w:pPr>
            <w:r w:rsidRPr="001A0E47">
              <w:rPr>
                <w:rFonts w:ascii="Calibri" w:eastAsia="Times New Roman" w:hAnsi="Calibri" w:cs="Calibri"/>
                <w:color w:val="000000"/>
              </w:rPr>
              <w:t> </w:t>
            </w:r>
          </w:p>
        </w:tc>
        <w:tc>
          <w:tcPr>
            <w:tcW w:w="1800" w:type="dxa"/>
            <w:tcBorders>
              <w:top w:val="nil"/>
              <w:left w:val="nil"/>
              <w:bottom w:val="single" w:sz="4" w:space="0" w:color="auto"/>
              <w:right w:val="single" w:sz="4" w:space="0" w:color="auto"/>
            </w:tcBorders>
            <w:shd w:val="clear" w:color="auto" w:fill="auto"/>
            <w:noWrap/>
            <w:vAlign w:val="bottom"/>
            <w:hideMark/>
          </w:tcPr>
          <w:p w:rsidR="001A0E47" w:rsidRPr="001A0E47" w:rsidRDefault="001A0E47" w:rsidP="001A0E47">
            <w:pPr>
              <w:spacing w:after="0" w:line="240" w:lineRule="auto"/>
              <w:rPr>
                <w:rFonts w:ascii="Calibri" w:eastAsia="Times New Roman" w:hAnsi="Calibri" w:cs="Calibri"/>
                <w:color w:val="000000"/>
              </w:rPr>
            </w:pPr>
            <w:r w:rsidRPr="001A0E47">
              <w:rPr>
                <w:rFonts w:ascii="Calibri" w:eastAsia="Times New Roman" w:hAnsi="Calibri" w:cs="Calibri"/>
                <w:color w:val="000000"/>
              </w:rPr>
              <w:t> </w:t>
            </w:r>
          </w:p>
        </w:tc>
        <w:tc>
          <w:tcPr>
            <w:tcW w:w="1620" w:type="dxa"/>
            <w:tcBorders>
              <w:top w:val="nil"/>
              <w:left w:val="nil"/>
              <w:bottom w:val="single" w:sz="4" w:space="0" w:color="auto"/>
              <w:right w:val="single" w:sz="4" w:space="0" w:color="auto"/>
            </w:tcBorders>
            <w:shd w:val="clear" w:color="auto" w:fill="auto"/>
            <w:noWrap/>
            <w:vAlign w:val="bottom"/>
            <w:hideMark/>
          </w:tcPr>
          <w:p w:rsidR="001A0E47" w:rsidRPr="001A0E47" w:rsidRDefault="001A0E47" w:rsidP="001A0E47">
            <w:pPr>
              <w:spacing w:after="0" w:line="240" w:lineRule="auto"/>
              <w:rPr>
                <w:rFonts w:ascii="Calibri" w:eastAsia="Times New Roman" w:hAnsi="Calibri" w:cs="Calibri"/>
                <w:color w:val="000000"/>
              </w:rPr>
            </w:pPr>
            <w:r w:rsidRPr="001A0E47">
              <w:rPr>
                <w:rFonts w:ascii="Calibri" w:eastAsia="Times New Roman" w:hAnsi="Calibri" w:cs="Calibri"/>
                <w:color w:val="000000"/>
              </w:rPr>
              <w:t> </w:t>
            </w:r>
          </w:p>
        </w:tc>
      </w:tr>
      <w:tr w:rsidR="001A0E47" w:rsidRPr="001A0E47" w:rsidTr="001A0E47">
        <w:trPr>
          <w:trHeight w:val="300"/>
        </w:trPr>
        <w:tc>
          <w:tcPr>
            <w:tcW w:w="3960" w:type="dxa"/>
            <w:tcBorders>
              <w:top w:val="nil"/>
              <w:left w:val="single" w:sz="4" w:space="0" w:color="auto"/>
              <w:bottom w:val="single" w:sz="4" w:space="0" w:color="auto"/>
              <w:right w:val="single" w:sz="4" w:space="0" w:color="auto"/>
            </w:tcBorders>
            <w:shd w:val="clear" w:color="auto" w:fill="auto"/>
            <w:noWrap/>
            <w:vAlign w:val="center"/>
            <w:hideMark/>
          </w:tcPr>
          <w:p w:rsidR="001A0E47" w:rsidRPr="001A0E47" w:rsidRDefault="001A0E47" w:rsidP="001A0E47">
            <w:pPr>
              <w:spacing w:after="0" w:line="240" w:lineRule="auto"/>
              <w:jc w:val="right"/>
              <w:rPr>
                <w:rFonts w:ascii="Calibri" w:eastAsia="Times New Roman" w:hAnsi="Calibri" w:cs="Calibri"/>
                <w:color w:val="000000"/>
              </w:rPr>
            </w:pPr>
            <w:r w:rsidRPr="001A0E47">
              <w:rPr>
                <w:rFonts w:ascii="Calibri" w:eastAsia="Times New Roman" w:hAnsi="Calibri" w:cs="Calibri"/>
                <w:color w:val="000000"/>
              </w:rPr>
              <w:t>Initial TOE Design Specification</w:t>
            </w:r>
          </w:p>
        </w:tc>
        <w:tc>
          <w:tcPr>
            <w:tcW w:w="1545" w:type="dxa"/>
            <w:tcBorders>
              <w:top w:val="nil"/>
              <w:left w:val="nil"/>
              <w:bottom w:val="single" w:sz="4" w:space="0" w:color="auto"/>
              <w:right w:val="single" w:sz="4" w:space="0" w:color="auto"/>
            </w:tcBorders>
            <w:shd w:val="clear" w:color="auto" w:fill="auto"/>
            <w:noWrap/>
            <w:vAlign w:val="bottom"/>
            <w:hideMark/>
          </w:tcPr>
          <w:p w:rsidR="001A0E47" w:rsidRPr="001A0E47" w:rsidRDefault="001A0E47" w:rsidP="001A0E47">
            <w:pPr>
              <w:spacing w:after="0" w:line="240" w:lineRule="auto"/>
              <w:rPr>
                <w:rFonts w:ascii="Calibri" w:eastAsia="Times New Roman" w:hAnsi="Calibri" w:cs="Calibri"/>
                <w:color w:val="000000"/>
              </w:rPr>
            </w:pPr>
            <w:r w:rsidRPr="001A0E47">
              <w:rPr>
                <w:rFonts w:ascii="Calibri" w:eastAsia="Times New Roman" w:hAnsi="Calibri" w:cs="Calibri"/>
                <w:color w:val="000000"/>
              </w:rPr>
              <w:t> </w:t>
            </w:r>
          </w:p>
        </w:tc>
        <w:tc>
          <w:tcPr>
            <w:tcW w:w="1800" w:type="dxa"/>
            <w:tcBorders>
              <w:top w:val="nil"/>
              <w:left w:val="nil"/>
              <w:bottom w:val="single" w:sz="4" w:space="0" w:color="auto"/>
              <w:right w:val="single" w:sz="4" w:space="0" w:color="auto"/>
            </w:tcBorders>
            <w:shd w:val="clear" w:color="auto" w:fill="auto"/>
            <w:noWrap/>
            <w:vAlign w:val="bottom"/>
            <w:hideMark/>
          </w:tcPr>
          <w:p w:rsidR="001A0E47" w:rsidRPr="001A0E47" w:rsidRDefault="001A0E47" w:rsidP="001A0E47">
            <w:pPr>
              <w:spacing w:after="0" w:line="240" w:lineRule="auto"/>
              <w:rPr>
                <w:rFonts w:ascii="Calibri" w:eastAsia="Times New Roman" w:hAnsi="Calibri" w:cs="Calibri"/>
                <w:color w:val="000000"/>
              </w:rPr>
            </w:pPr>
            <w:r w:rsidRPr="001A0E47">
              <w:rPr>
                <w:rFonts w:ascii="Calibri" w:eastAsia="Times New Roman" w:hAnsi="Calibri" w:cs="Calibri"/>
                <w:color w:val="000000"/>
              </w:rPr>
              <w:t> </w:t>
            </w:r>
          </w:p>
        </w:tc>
        <w:tc>
          <w:tcPr>
            <w:tcW w:w="1620" w:type="dxa"/>
            <w:tcBorders>
              <w:top w:val="nil"/>
              <w:left w:val="nil"/>
              <w:bottom w:val="single" w:sz="4" w:space="0" w:color="auto"/>
              <w:right w:val="single" w:sz="4" w:space="0" w:color="auto"/>
            </w:tcBorders>
            <w:shd w:val="clear" w:color="auto" w:fill="auto"/>
            <w:noWrap/>
            <w:vAlign w:val="bottom"/>
            <w:hideMark/>
          </w:tcPr>
          <w:p w:rsidR="001A0E47" w:rsidRPr="001A0E47" w:rsidRDefault="001A0E47" w:rsidP="001A0E47">
            <w:pPr>
              <w:spacing w:after="0" w:line="240" w:lineRule="auto"/>
              <w:rPr>
                <w:rFonts w:ascii="Calibri" w:eastAsia="Times New Roman" w:hAnsi="Calibri" w:cs="Calibri"/>
                <w:color w:val="000000"/>
              </w:rPr>
            </w:pPr>
            <w:r w:rsidRPr="001A0E47">
              <w:rPr>
                <w:rFonts w:ascii="Calibri" w:eastAsia="Times New Roman" w:hAnsi="Calibri" w:cs="Calibri"/>
                <w:color w:val="000000"/>
              </w:rPr>
              <w:t> </w:t>
            </w:r>
          </w:p>
        </w:tc>
      </w:tr>
      <w:tr w:rsidR="001A0E47" w:rsidRPr="001A0E47" w:rsidTr="001A0E47">
        <w:trPr>
          <w:trHeight w:val="300"/>
        </w:trPr>
        <w:tc>
          <w:tcPr>
            <w:tcW w:w="3960" w:type="dxa"/>
            <w:tcBorders>
              <w:top w:val="nil"/>
              <w:left w:val="single" w:sz="4" w:space="0" w:color="auto"/>
              <w:bottom w:val="single" w:sz="4" w:space="0" w:color="auto"/>
              <w:right w:val="single" w:sz="4" w:space="0" w:color="auto"/>
            </w:tcBorders>
            <w:shd w:val="clear" w:color="auto" w:fill="auto"/>
            <w:noWrap/>
            <w:vAlign w:val="center"/>
            <w:hideMark/>
          </w:tcPr>
          <w:p w:rsidR="001A0E47" w:rsidRPr="001A0E47" w:rsidRDefault="001A0E47" w:rsidP="001A0E47">
            <w:pPr>
              <w:spacing w:after="0" w:line="240" w:lineRule="auto"/>
              <w:jc w:val="right"/>
              <w:rPr>
                <w:rFonts w:ascii="Calibri" w:eastAsia="Times New Roman" w:hAnsi="Calibri" w:cs="Calibri"/>
                <w:color w:val="000000"/>
              </w:rPr>
            </w:pPr>
            <w:r w:rsidRPr="001A0E47">
              <w:rPr>
                <w:rFonts w:ascii="Calibri" w:eastAsia="Times New Roman" w:hAnsi="Calibri" w:cs="Calibri"/>
                <w:color w:val="000000"/>
              </w:rPr>
              <w:t>Initial Guidance Documents Comments</w:t>
            </w:r>
          </w:p>
        </w:tc>
        <w:tc>
          <w:tcPr>
            <w:tcW w:w="1545" w:type="dxa"/>
            <w:tcBorders>
              <w:top w:val="nil"/>
              <w:left w:val="nil"/>
              <w:bottom w:val="single" w:sz="4" w:space="0" w:color="auto"/>
              <w:right w:val="single" w:sz="4" w:space="0" w:color="auto"/>
            </w:tcBorders>
            <w:shd w:val="clear" w:color="auto" w:fill="auto"/>
            <w:noWrap/>
            <w:vAlign w:val="bottom"/>
            <w:hideMark/>
          </w:tcPr>
          <w:p w:rsidR="001A0E47" w:rsidRPr="001A0E47" w:rsidRDefault="001A0E47" w:rsidP="001A0E47">
            <w:pPr>
              <w:spacing w:after="0" w:line="240" w:lineRule="auto"/>
              <w:rPr>
                <w:rFonts w:ascii="Calibri" w:eastAsia="Times New Roman" w:hAnsi="Calibri" w:cs="Calibri"/>
                <w:b/>
                <w:bCs/>
                <w:color w:val="000000"/>
              </w:rPr>
            </w:pPr>
            <w:r w:rsidRPr="001A0E47">
              <w:rPr>
                <w:rFonts w:ascii="Calibri" w:eastAsia="Times New Roman" w:hAnsi="Calibri" w:cs="Calibri"/>
                <w:b/>
                <w:bCs/>
                <w:color w:val="000000"/>
              </w:rPr>
              <w:t> </w:t>
            </w:r>
          </w:p>
        </w:tc>
        <w:tc>
          <w:tcPr>
            <w:tcW w:w="1800" w:type="dxa"/>
            <w:tcBorders>
              <w:top w:val="nil"/>
              <w:left w:val="nil"/>
              <w:bottom w:val="single" w:sz="4" w:space="0" w:color="auto"/>
              <w:right w:val="single" w:sz="4" w:space="0" w:color="auto"/>
            </w:tcBorders>
            <w:shd w:val="clear" w:color="auto" w:fill="auto"/>
            <w:noWrap/>
            <w:vAlign w:val="bottom"/>
            <w:hideMark/>
          </w:tcPr>
          <w:p w:rsidR="001A0E47" w:rsidRPr="001A0E47" w:rsidRDefault="001A0E47" w:rsidP="001A0E47">
            <w:pPr>
              <w:spacing w:after="0" w:line="240" w:lineRule="auto"/>
              <w:rPr>
                <w:rFonts w:ascii="Calibri" w:eastAsia="Times New Roman" w:hAnsi="Calibri" w:cs="Calibri"/>
                <w:b/>
                <w:bCs/>
                <w:color w:val="000000"/>
              </w:rPr>
            </w:pPr>
            <w:r w:rsidRPr="001A0E47">
              <w:rPr>
                <w:rFonts w:ascii="Calibri" w:eastAsia="Times New Roman" w:hAnsi="Calibri" w:cs="Calibri"/>
                <w:b/>
                <w:bCs/>
                <w:color w:val="000000"/>
              </w:rPr>
              <w:t> </w:t>
            </w:r>
          </w:p>
        </w:tc>
        <w:tc>
          <w:tcPr>
            <w:tcW w:w="1620" w:type="dxa"/>
            <w:tcBorders>
              <w:top w:val="nil"/>
              <w:left w:val="nil"/>
              <w:bottom w:val="single" w:sz="4" w:space="0" w:color="auto"/>
              <w:right w:val="single" w:sz="4" w:space="0" w:color="auto"/>
            </w:tcBorders>
            <w:shd w:val="clear" w:color="auto" w:fill="auto"/>
            <w:noWrap/>
            <w:vAlign w:val="bottom"/>
            <w:hideMark/>
          </w:tcPr>
          <w:p w:rsidR="001A0E47" w:rsidRPr="001A0E47" w:rsidRDefault="001A0E47" w:rsidP="001A0E47">
            <w:pPr>
              <w:spacing w:after="0" w:line="240" w:lineRule="auto"/>
              <w:rPr>
                <w:rFonts w:ascii="Calibri" w:eastAsia="Times New Roman" w:hAnsi="Calibri" w:cs="Calibri"/>
                <w:color w:val="000000"/>
              </w:rPr>
            </w:pPr>
            <w:r w:rsidRPr="001A0E47">
              <w:rPr>
                <w:rFonts w:ascii="Calibri" w:eastAsia="Times New Roman" w:hAnsi="Calibri" w:cs="Calibri"/>
                <w:color w:val="000000"/>
              </w:rPr>
              <w:t> </w:t>
            </w:r>
          </w:p>
        </w:tc>
      </w:tr>
      <w:tr w:rsidR="001A0E47" w:rsidRPr="001A0E47" w:rsidTr="001A0E47">
        <w:trPr>
          <w:trHeight w:val="300"/>
        </w:trPr>
        <w:tc>
          <w:tcPr>
            <w:tcW w:w="3960" w:type="dxa"/>
            <w:tcBorders>
              <w:top w:val="nil"/>
              <w:left w:val="single" w:sz="4" w:space="0" w:color="auto"/>
              <w:bottom w:val="single" w:sz="4" w:space="0" w:color="auto"/>
              <w:right w:val="single" w:sz="4" w:space="0" w:color="auto"/>
            </w:tcBorders>
            <w:shd w:val="clear" w:color="auto" w:fill="auto"/>
            <w:noWrap/>
            <w:vAlign w:val="bottom"/>
            <w:hideMark/>
          </w:tcPr>
          <w:p w:rsidR="001A0E47" w:rsidRPr="001A0E47" w:rsidRDefault="001A0E47" w:rsidP="001A0E47">
            <w:pPr>
              <w:spacing w:after="0" w:line="240" w:lineRule="auto"/>
              <w:jc w:val="right"/>
              <w:rPr>
                <w:rFonts w:ascii="Calibri" w:eastAsia="Times New Roman" w:hAnsi="Calibri" w:cs="Calibri"/>
                <w:color w:val="000000"/>
              </w:rPr>
            </w:pPr>
            <w:r w:rsidRPr="001A0E47">
              <w:rPr>
                <w:rFonts w:ascii="Calibri" w:eastAsia="Times New Roman" w:hAnsi="Calibri" w:cs="Calibri"/>
                <w:color w:val="000000"/>
              </w:rPr>
              <w:t>Initial Security Architecture</w:t>
            </w:r>
          </w:p>
        </w:tc>
        <w:tc>
          <w:tcPr>
            <w:tcW w:w="1545" w:type="dxa"/>
            <w:tcBorders>
              <w:top w:val="nil"/>
              <w:left w:val="nil"/>
              <w:bottom w:val="single" w:sz="4" w:space="0" w:color="auto"/>
              <w:right w:val="single" w:sz="4" w:space="0" w:color="auto"/>
            </w:tcBorders>
            <w:shd w:val="clear" w:color="auto" w:fill="auto"/>
            <w:noWrap/>
            <w:vAlign w:val="bottom"/>
            <w:hideMark/>
          </w:tcPr>
          <w:p w:rsidR="001A0E47" w:rsidRPr="001A0E47" w:rsidRDefault="001A0E47" w:rsidP="001A0E47">
            <w:pPr>
              <w:spacing w:after="0" w:line="240" w:lineRule="auto"/>
              <w:rPr>
                <w:rFonts w:ascii="Calibri" w:eastAsia="Times New Roman" w:hAnsi="Calibri" w:cs="Calibri"/>
                <w:color w:val="000000"/>
              </w:rPr>
            </w:pPr>
            <w:r w:rsidRPr="001A0E47">
              <w:rPr>
                <w:rFonts w:ascii="Calibri" w:eastAsia="Times New Roman" w:hAnsi="Calibri" w:cs="Calibri"/>
                <w:color w:val="000000"/>
              </w:rPr>
              <w:t> </w:t>
            </w:r>
          </w:p>
        </w:tc>
        <w:tc>
          <w:tcPr>
            <w:tcW w:w="1800" w:type="dxa"/>
            <w:tcBorders>
              <w:top w:val="nil"/>
              <w:left w:val="nil"/>
              <w:bottom w:val="single" w:sz="4" w:space="0" w:color="auto"/>
              <w:right w:val="single" w:sz="4" w:space="0" w:color="auto"/>
            </w:tcBorders>
            <w:shd w:val="clear" w:color="auto" w:fill="auto"/>
            <w:noWrap/>
            <w:vAlign w:val="bottom"/>
            <w:hideMark/>
          </w:tcPr>
          <w:p w:rsidR="001A0E47" w:rsidRPr="001A0E47" w:rsidRDefault="001A0E47" w:rsidP="001A0E47">
            <w:pPr>
              <w:spacing w:after="0" w:line="240" w:lineRule="auto"/>
              <w:rPr>
                <w:rFonts w:ascii="Calibri" w:eastAsia="Times New Roman" w:hAnsi="Calibri" w:cs="Calibri"/>
                <w:color w:val="000000"/>
              </w:rPr>
            </w:pPr>
            <w:r w:rsidRPr="001A0E47">
              <w:rPr>
                <w:rFonts w:ascii="Calibri" w:eastAsia="Times New Roman" w:hAnsi="Calibri" w:cs="Calibri"/>
                <w:color w:val="000000"/>
              </w:rPr>
              <w:t> </w:t>
            </w:r>
          </w:p>
        </w:tc>
        <w:tc>
          <w:tcPr>
            <w:tcW w:w="1620" w:type="dxa"/>
            <w:tcBorders>
              <w:top w:val="nil"/>
              <w:left w:val="nil"/>
              <w:bottom w:val="single" w:sz="4" w:space="0" w:color="auto"/>
              <w:right w:val="single" w:sz="4" w:space="0" w:color="auto"/>
            </w:tcBorders>
            <w:shd w:val="clear" w:color="auto" w:fill="auto"/>
            <w:noWrap/>
            <w:vAlign w:val="bottom"/>
            <w:hideMark/>
          </w:tcPr>
          <w:p w:rsidR="001A0E47" w:rsidRPr="001A0E47" w:rsidRDefault="001A0E47" w:rsidP="001A0E47">
            <w:pPr>
              <w:spacing w:after="0" w:line="240" w:lineRule="auto"/>
              <w:rPr>
                <w:rFonts w:ascii="Calibri" w:eastAsia="Times New Roman" w:hAnsi="Calibri" w:cs="Calibri"/>
                <w:color w:val="000000"/>
              </w:rPr>
            </w:pPr>
            <w:r w:rsidRPr="001A0E47">
              <w:rPr>
                <w:rFonts w:ascii="Calibri" w:eastAsia="Times New Roman" w:hAnsi="Calibri" w:cs="Calibri"/>
                <w:color w:val="000000"/>
              </w:rPr>
              <w:t> </w:t>
            </w:r>
          </w:p>
        </w:tc>
      </w:tr>
      <w:tr w:rsidR="001A0E47" w:rsidRPr="001A0E47" w:rsidTr="001A0E47">
        <w:trPr>
          <w:trHeight w:val="300"/>
        </w:trPr>
        <w:tc>
          <w:tcPr>
            <w:tcW w:w="3960" w:type="dxa"/>
            <w:tcBorders>
              <w:top w:val="nil"/>
              <w:left w:val="single" w:sz="4" w:space="0" w:color="auto"/>
              <w:bottom w:val="single" w:sz="4" w:space="0" w:color="auto"/>
              <w:right w:val="single" w:sz="4" w:space="0" w:color="auto"/>
            </w:tcBorders>
            <w:shd w:val="clear" w:color="auto" w:fill="auto"/>
            <w:noWrap/>
            <w:vAlign w:val="bottom"/>
            <w:hideMark/>
          </w:tcPr>
          <w:p w:rsidR="001A0E47" w:rsidRPr="001A0E47" w:rsidRDefault="001A0E47" w:rsidP="001A0E47">
            <w:pPr>
              <w:spacing w:after="0" w:line="240" w:lineRule="auto"/>
              <w:jc w:val="right"/>
              <w:rPr>
                <w:rFonts w:ascii="Calibri" w:eastAsia="Times New Roman" w:hAnsi="Calibri" w:cs="Calibri"/>
                <w:color w:val="000000"/>
              </w:rPr>
            </w:pPr>
            <w:r w:rsidRPr="001A0E47">
              <w:rPr>
                <w:rFonts w:ascii="Calibri" w:eastAsia="Times New Roman" w:hAnsi="Calibri" w:cs="Calibri"/>
                <w:color w:val="000000"/>
              </w:rPr>
              <w:t>Initial Life Cycle Documents</w:t>
            </w:r>
          </w:p>
        </w:tc>
        <w:tc>
          <w:tcPr>
            <w:tcW w:w="1545" w:type="dxa"/>
            <w:tcBorders>
              <w:top w:val="nil"/>
              <w:left w:val="nil"/>
              <w:bottom w:val="single" w:sz="4" w:space="0" w:color="auto"/>
              <w:right w:val="single" w:sz="4" w:space="0" w:color="auto"/>
            </w:tcBorders>
            <w:shd w:val="clear" w:color="auto" w:fill="auto"/>
            <w:noWrap/>
            <w:vAlign w:val="bottom"/>
            <w:hideMark/>
          </w:tcPr>
          <w:p w:rsidR="001A0E47" w:rsidRPr="001A0E47" w:rsidRDefault="001A0E47" w:rsidP="001A0E47">
            <w:pPr>
              <w:spacing w:after="0" w:line="240" w:lineRule="auto"/>
              <w:rPr>
                <w:rFonts w:ascii="Calibri" w:eastAsia="Times New Roman" w:hAnsi="Calibri" w:cs="Calibri"/>
                <w:color w:val="000000"/>
              </w:rPr>
            </w:pPr>
            <w:r w:rsidRPr="001A0E47">
              <w:rPr>
                <w:rFonts w:ascii="Calibri" w:eastAsia="Times New Roman" w:hAnsi="Calibri" w:cs="Calibri"/>
                <w:color w:val="000000"/>
              </w:rPr>
              <w:t> </w:t>
            </w:r>
          </w:p>
        </w:tc>
        <w:tc>
          <w:tcPr>
            <w:tcW w:w="1800" w:type="dxa"/>
            <w:tcBorders>
              <w:top w:val="nil"/>
              <w:left w:val="nil"/>
              <w:bottom w:val="single" w:sz="4" w:space="0" w:color="auto"/>
              <w:right w:val="single" w:sz="4" w:space="0" w:color="auto"/>
            </w:tcBorders>
            <w:shd w:val="clear" w:color="auto" w:fill="auto"/>
            <w:noWrap/>
            <w:vAlign w:val="bottom"/>
            <w:hideMark/>
          </w:tcPr>
          <w:p w:rsidR="001A0E47" w:rsidRPr="001A0E47" w:rsidRDefault="001A0E47" w:rsidP="001A0E47">
            <w:pPr>
              <w:spacing w:after="0" w:line="240" w:lineRule="auto"/>
              <w:rPr>
                <w:rFonts w:ascii="Calibri" w:eastAsia="Times New Roman" w:hAnsi="Calibri" w:cs="Calibri"/>
                <w:color w:val="000000"/>
              </w:rPr>
            </w:pPr>
            <w:r w:rsidRPr="001A0E47">
              <w:rPr>
                <w:rFonts w:ascii="Calibri" w:eastAsia="Times New Roman" w:hAnsi="Calibri" w:cs="Calibri"/>
                <w:color w:val="000000"/>
              </w:rPr>
              <w:t> </w:t>
            </w:r>
          </w:p>
        </w:tc>
        <w:tc>
          <w:tcPr>
            <w:tcW w:w="1620" w:type="dxa"/>
            <w:tcBorders>
              <w:top w:val="nil"/>
              <w:left w:val="nil"/>
              <w:bottom w:val="single" w:sz="4" w:space="0" w:color="auto"/>
              <w:right w:val="single" w:sz="4" w:space="0" w:color="auto"/>
            </w:tcBorders>
            <w:shd w:val="clear" w:color="auto" w:fill="auto"/>
            <w:noWrap/>
            <w:vAlign w:val="bottom"/>
            <w:hideMark/>
          </w:tcPr>
          <w:p w:rsidR="001A0E47" w:rsidRPr="001A0E47" w:rsidRDefault="001A0E47" w:rsidP="001A0E47">
            <w:pPr>
              <w:spacing w:after="0" w:line="240" w:lineRule="auto"/>
              <w:rPr>
                <w:rFonts w:ascii="Calibri" w:eastAsia="Times New Roman" w:hAnsi="Calibri" w:cs="Calibri"/>
                <w:color w:val="000000"/>
              </w:rPr>
            </w:pPr>
            <w:r w:rsidRPr="001A0E47">
              <w:rPr>
                <w:rFonts w:ascii="Calibri" w:eastAsia="Times New Roman" w:hAnsi="Calibri" w:cs="Calibri"/>
                <w:color w:val="000000"/>
              </w:rPr>
              <w:t> </w:t>
            </w:r>
          </w:p>
        </w:tc>
      </w:tr>
      <w:tr w:rsidR="001A0E47" w:rsidRPr="001A0E47" w:rsidTr="001A0E47">
        <w:trPr>
          <w:trHeight w:val="300"/>
        </w:trPr>
        <w:tc>
          <w:tcPr>
            <w:tcW w:w="3960" w:type="dxa"/>
            <w:tcBorders>
              <w:top w:val="nil"/>
              <w:left w:val="single" w:sz="4" w:space="0" w:color="auto"/>
              <w:bottom w:val="single" w:sz="4" w:space="0" w:color="auto"/>
              <w:right w:val="single" w:sz="4" w:space="0" w:color="auto"/>
            </w:tcBorders>
            <w:shd w:val="clear" w:color="auto" w:fill="auto"/>
            <w:noWrap/>
            <w:vAlign w:val="center"/>
            <w:hideMark/>
          </w:tcPr>
          <w:p w:rsidR="001A0E47" w:rsidRPr="001A0E47" w:rsidRDefault="001A0E47" w:rsidP="001A0E47">
            <w:pPr>
              <w:spacing w:after="0" w:line="240" w:lineRule="auto"/>
              <w:jc w:val="right"/>
              <w:rPr>
                <w:rFonts w:ascii="Calibri" w:eastAsia="Times New Roman" w:hAnsi="Calibri" w:cs="Calibri"/>
                <w:color w:val="000000"/>
              </w:rPr>
            </w:pPr>
            <w:r w:rsidRPr="001A0E47">
              <w:rPr>
                <w:rFonts w:ascii="Calibri" w:eastAsia="Times New Roman" w:hAnsi="Calibri" w:cs="Calibri"/>
                <w:color w:val="000000"/>
              </w:rPr>
              <w:t>Initial Testing Documents</w:t>
            </w:r>
          </w:p>
        </w:tc>
        <w:tc>
          <w:tcPr>
            <w:tcW w:w="1545" w:type="dxa"/>
            <w:tcBorders>
              <w:top w:val="nil"/>
              <w:left w:val="nil"/>
              <w:bottom w:val="single" w:sz="4" w:space="0" w:color="auto"/>
              <w:right w:val="single" w:sz="4" w:space="0" w:color="auto"/>
            </w:tcBorders>
            <w:shd w:val="clear" w:color="auto" w:fill="auto"/>
            <w:noWrap/>
            <w:vAlign w:val="bottom"/>
            <w:hideMark/>
          </w:tcPr>
          <w:p w:rsidR="001A0E47" w:rsidRPr="001A0E47" w:rsidRDefault="001A0E47" w:rsidP="001A0E47">
            <w:pPr>
              <w:spacing w:after="0" w:line="240" w:lineRule="auto"/>
              <w:rPr>
                <w:rFonts w:ascii="Calibri" w:eastAsia="Times New Roman" w:hAnsi="Calibri" w:cs="Calibri"/>
                <w:color w:val="000000"/>
              </w:rPr>
            </w:pPr>
            <w:r w:rsidRPr="001A0E47">
              <w:rPr>
                <w:rFonts w:ascii="Calibri" w:eastAsia="Times New Roman" w:hAnsi="Calibri" w:cs="Calibri"/>
                <w:color w:val="000000"/>
              </w:rPr>
              <w:t> </w:t>
            </w:r>
          </w:p>
        </w:tc>
        <w:tc>
          <w:tcPr>
            <w:tcW w:w="1800" w:type="dxa"/>
            <w:tcBorders>
              <w:top w:val="nil"/>
              <w:left w:val="nil"/>
              <w:bottom w:val="single" w:sz="4" w:space="0" w:color="auto"/>
              <w:right w:val="single" w:sz="4" w:space="0" w:color="auto"/>
            </w:tcBorders>
            <w:shd w:val="clear" w:color="auto" w:fill="auto"/>
            <w:noWrap/>
            <w:vAlign w:val="bottom"/>
            <w:hideMark/>
          </w:tcPr>
          <w:p w:rsidR="001A0E47" w:rsidRPr="001A0E47" w:rsidRDefault="001A0E47" w:rsidP="001A0E47">
            <w:pPr>
              <w:spacing w:after="0" w:line="240" w:lineRule="auto"/>
              <w:rPr>
                <w:rFonts w:ascii="Calibri" w:eastAsia="Times New Roman" w:hAnsi="Calibri" w:cs="Calibri"/>
                <w:color w:val="000000"/>
              </w:rPr>
            </w:pPr>
            <w:r w:rsidRPr="001A0E47">
              <w:rPr>
                <w:rFonts w:ascii="Calibri" w:eastAsia="Times New Roman" w:hAnsi="Calibri" w:cs="Calibri"/>
                <w:color w:val="000000"/>
              </w:rPr>
              <w:t> </w:t>
            </w:r>
          </w:p>
        </w:tc>
        <w:tc>
          <w:tcPr>
            <w:tcW w:w="1620" w:type="dxa"/>
            <w:tcBorders>
              <w:top w:val="nil"/>
              <w:left w:val="nil"/>
              <w:bottom w:val="single" w:sz="4" w:space="0" w:color="auto"/>
              <w:right w:val="single" w:sz="4" w:space="0" w:color="auto"/>
            </w:tcBorders>
            <w:shd w:val="clear" w:color="auto" w:fill="auto"/>
            <w:noWrap/>
            <w:vAlign w:val="bottom"/>
            <w:hideMark/>
          </w:tcPr>
          <w:p w:rsidR="001A0E47" w:rsidRPr="001A0E47" w:rsidRDefault="001A0E47" w:rsidP="001A0E47">
            <w:pPr>
              <w:spacing w:after="0" w:line="240" w:lineRule="auto"/>
              <w:rPr>
                <w:rFonts w:ascii="Calibri" w:eastAsia="Times New Roman" w:hAnsi="Calibri" w:cs="Calibri"/>
                <w:color w:val="000000"/>
              </w:rPr>
            </w:pPr>
            <w:r w:rsidRPr="001A0E47">
              <w:rPr>
                <w:rFonts w:ascii="Calibri" w:eastAsia="Times New Roman" w:hAnsi="Calibri" w:cs="Calibri"/>
                <w:color w:val="000000"/>
              </w:rPr>
              <w:t> </w:t>
            </w:r>
          </w:p>
        </w:tc>
      </w:tr>
      <w:tr w:rsidR="001A0E47" w:rsidRPr="001A0E47" w:rsidTr="001A0E47">
        <w:trPr>
          <w:trHeight w:val="300"/>
        </w:trPr>
        <w:tc>
          <w:tcPr>
            <w:tcW w:w="3960" w:type="dxa"/>
            <w:tcBorders>
              <w:top w:val="nil"/>
              <w:left w:val="single" w:sz="4" w:space="0" w:color="auto"/>
              <w:bottom w:val="single" w:sz="4" w:space="0" w:color="auto"/>
              <w:right w:val="single" w:sz="4" w:space="0" w:color="auto"/>
            </w:tcBorders>
            <w:shd w:val="clear" w:color="auto" w:fill="auto"/>
            <w:noWrap/>
            <w:vAlign w:val="center"/>
            <w:hideMark/>
          </w:tcPr>
          <w:p w:rsidR="001A0E47" w:rsidRPr="001A0E47" w:rsidRDefault="001A0E47" w:rsidP="001A0E47">
            <w:pPr>
              <w:spacing w:after="0" w:line="240" w:lineRule="auto"/>
              <w:jc w:val="right"/>
              <w:rPr>
                <w:rFonts w:ascii="Calibri" w:eastAsia="Times New Roman" w:hAnsi="Calibri" w:cs="Calibri"/>
                <w:b/>
                <w:bCs/>
                <w:color w:val="000000"/>
              </w:rPr>
            </w:pPr>
            <w:r w:rsidRPr="001A0E47">
              <w:rPr>
                <w:rFonts w:ascii="Calibri" w:eastAsia="Times New Roman" w:hAnsi="Calibri" w:cs="Calibri"/>
                <w:b/>
                <w:bCs/>
                <w:color w:val="000000"/>
              </w:rPr>
              <w:t>Total cost estimate:</w:t>
            </w:r>
          </w:p>
        </w:tc>
        <w:tc>
          <w:tcPr>
            <w:tcW w:w="1545" w:type="dxa"/>
            <w:tcBorders>
              <w:top w:val="nil"/>
              <w:left w:val="nil"/>
              <w:bottom w:val="single" w:sz="4" w:space="0" w:color="auto"/>
              <w:right w:val="single" w:sz="4" w:space="0" w:color="auto"/>
            </w:tcBorders>
            <w:shd w:val="clear" w:color="auto" w:fill="auto"/>
            <w:noWrap/>
            <w:vAlign w:val="bottom"/>
            <w:hideMark/>
          </w:tcPr>
          <w:p w:rsidR="001A0E47" w:rsidRPr="001A0E47" w:rsidRDefault="001A0E47" w:rsidP="001A0E47">
            <w:pPr>
              <w:spacing w:after="0" w:line="240" w:lineRule="auto"/>
              <w:rPr>
                <w:rFonts w:ascii="Calibri" w:eastAsia="Times New Roman" w:hAnsi="Calibri" w:cs="Calibri"/>
                <w:color w:val="000000"/>
              </w:rPr>
            </w:pPr>
            <w:r w:rsidRPr="001A0E47">
              <w:rPr>
                <w:rFonts w:ascii="Calibri" w:eastAsia="Times New Roman" w:hAnsi="Calibri" w:cs="Calibri"/>
                <w:color w:val="000000"/>
              </w:rPr>
              <w:t> </w:t>
            </w:r>
          </w:p>
        </w:tc>
        <w:tc>
          <w:tcPr>
            <w:tcW w:w="1800" w:type="dxa"/>
            <w:tcBorders>
              <w:top w:val="nil"/>
              <w:left w:val="nil"/>
              <w:bottom w:val="single" w:sz="4" w:space="0" w:color="auto"/>
              <w:right w:val="single" w:sz="4" w:space="0" w:color="auto"/>
            </w:tcBorders>
            <w:shd w:val="clear" w:color="auto" w:fill="auto"/>
            <w:noWrap/>
            <w:vAlign w:val="bottom"/>
            <w:hideMark/>
          </w:tcPr>
          <w:p w:rsidR="001A0E47" w:rsidRPr="001A0E47" w:rsidRDefault="001A0E47" w:rsidP="001A0E47">
            <w:pPr>
              <w:spacing w:after="0" w:line="240" w:lineRule="auto"/>
              <w:rPr>
                <w:rFonts w:ascii="Calibri" w:eastAsia="Times New Roman" w:hAnsi="Calibri" w:cs="Calibri"/>
                <w:color w:val="000000"/>
              </w:rPr>
            </w:pPr>
            <w:r w:rsidRPr="001A0E47">
              <w:rPr>
                <w:rFonts w:ascii="Calibri" w:eastAsia="Times New Roman" w:hAnsi="Calibri" w:cs="Calibri"/>
                <w:color w:val="000000"/>
              </w:rPr>
              <w:t> </w:t>
            </w:r>
          </w:p>
        </w:tc>
        <w:tc>
          <w:tcPr>
            <w:tcW w:w="1620" w:type="dxa"/>
            <w:tcBorders>
              <w:top w:val="nil"/>
              <w:left w:val="nil"/>
              <w:bottom w:val="single" w:sz="4" w:space="0" w:color="auto"/>
              <w:right w:val="single" w:sz="4" w:space="0" w:color="auto"/>
            </w:tcBorders>
            <w:shd w:val="clear" w:color="auto" w:fill="auto"/>
            <w:noWrap/>
            <w:vAlign w:val="bottom"/>
            <w:hideMark/>
          </w:tcPr>
          <w:p w:rsidR="001A0E47" w:rsidRPr="001A0E47" w:rsidRDefault="001A0E47" w:rsidP="001A0E47">
            <w:pPr>
              <w:spacing w:after="0" w:line="240" w:lineRule="auto"/>
              <w:rPr>
                <w:rFonts w:ascii="Calibri" w:eastAsia="Times New Roman" w:hAnsi="Calibri" w:cs="Calibri"/>
                <w:color w:val="000000"/>
              </w:rPr>
            </w:pPr>
            <w:r w:rsidRPr="001A0E47">
              <w:rPr>
                <w:rFonts w:ascii="Calibri" w:eastAsia="Times New Roman" w:hAnsi="Calibri" w:cs="Calibri"/>
                <w:color w:val="000000"/>
              </w:rPr>
              <w:t> </w:t>
            </w:r>
          </w:p>
        </w:tc>
      </w:tr>
    </w:tbl>
    <w:p w:rsidR="00473C9A" w:rsidRDefault="00473C9A">
      <w:pPr>
        <w:rPr>
          <w:rFonts w:asciiTheme="majorHAnsi" w:hAnsiTheme="majorHAnsi" w:cstheme="minorHAnsi"/>
          <w:b/>
          <w:bCs/>
        </w:rPr>
      </w:pPr>
      <w:r>
        <w:rPr>
          <w:rFonts w:asciiTheme="majorHAnsi" w:hAnsiTheme="majorHAnsi" w:cstheme="minorHAnsi"/>
          <w:b/>
          <w:bCs/>
        </w:rPr>
        <w:br w:type="page"/>
      </w:r>
    </w:p>
    <w:p w:rsidR="00282987" w:rsidRPr="003256B3" w:rsidRDefault="00282987" w:rsidP="00282987">
      <w:pPr>
        <w:autoSpaceDE w:val="0"/>
        <w:autoSpaceDN w:val="0"/>
        <w:adjustRightInd w:val="0"/>
        <w:spacing w:after="0" w:line="240" w:lineRule="auto"/>
        <w:rPr>
          <w:rFonts w:asciiTheme="majorHAnsi" w:hAnsiTheme="majorHAnsi" w:cstheme="minorHAnsi"/>
          <w:b/>
          <w:bCs/>
        </w:rPr>
      </w:pPr>
      <w:r w:rsidRPr="003256B3">
        <w:rPr>
          <w:rFonts w:asciiTheme="majorHAnsi" w:hAnsiTheme="majorHAnsi" w:cstheme="minorHAnsi"/>
          <w:b/>
          <w:bCs/>
        </w:rPr>
        <w:lastRenderedPageBreak/>
        <w:t>Summary</w:t>
      </w:r>
      <w:r w:rsidR="00075D98">
        <w:rPr>
          <w:rFonts w:asciiTheme="majorHAnsi" w:hAnsiTheme="majorHAnsi" w:cstheme="minorHAnsi"/>
          <w:b/>
          <w:bCs/>
        </w:rPr>
        <w:t xml:space="preserve"> of Evaluation Services</w:t>
      </w:r>
    </w:p>
    <w:p w:rsidR="00282987" w:rsidRPr="00880396" w:rsidRDefault="003256B3" w:rsidP="00282987">
      <w:pPr>
        <w:autoSpaceDE w:val="0"/>
        <w:autoSpaceDN w:val="0"/>
        <w:adjustRightInd w:val="0"/>
        <w:spacing w:after="0" w:line="240" w:lineRule="auto"/>
        <w:rPr>
          <w:rFonts w:cstheme="minorHAnsi"/>
        </w:rPr>
      </w:pPr>
      <w:r>
        <w:rPr>
          <w:rFonts w:cstheme="minorHAnsi"/>
        </w:rPr>
        <w:t>The Contractor</w:t>
      </w:r>
      <w:r w:rsidR="00282987" w:rsidRPr="00880396">
        <w:rPr>
          <w:rFonts w:cstheme="minorHAnsi"/>
        </w:rPr>
        <w:t xml:space="preserve"> will provide Common Criteria evaluation testing under the United States National</w:t>
      </w:r>
    </w:p>
    <w:p w:rsidR="00282987" w:rsidRPr="00880396" w:rsidRDefault="00282987" w:rsidP="00282987">
      <w:pPr>
        <w:autoSpaceDE w:val="0"/>
        <w:autoSpaceDN w:val="0"/>
        <w:adjustRightInd w:val="0"/>
        <w:spacing w:after="0" w:line="240" w:lineRule="auto"/>
        <w:rPr>
          <w:rFonts w:cstheme="minorHAnsi"/>
        </w:rPr>
      </w:pPr>
      <w:r w:rsidRPr="00880396">
        <w:rPr>
          <w:rFonts w:cstheme="minorHAnsi"/>
        </w:rPr>
        <w:t>Information Assurance Partnership (NIAP) Common Criteria Evaluation and Validation Scheme</w:t>
      </w:r>
    </w:p>
    <w:p w:rsidR="00282987" w:rsidRPr="00880396" w:rsidRDefault="00282987" w:rsidP="00282987">
      <w:pPr>
        <w:autoSpaceDE w:val="0"/>
        <w:autoSpaceDN w:val="0"/>
        <w:adjustRightInd w:val="0"/>
        <w:spacing w:after="0" w:line="240" w:lineRule="auto"/>
        <w:rPr>
          <w:rFonts w:cstheme="minorHAnsi"/>
        </w:rPr>
      </w:pPr>
      <w:r w:rsidRPr="00880396">
        <w:rPr>
          <w:rFonts w:cstheme="minorHAnsi"/>
        </w:rPr>
        <w:t>(CCEVS) program (www.niap-cc</w:t>
      </w:r>
      <w:r w:rsidR="003256B3">
        <w:rPr>
          <w:rFonts w:cstheme="minorHAnsi"/>
        </w:rPr>
        <w:t>evs.org/cc-scheme/). The Contractor</w:t>
      </w:r>
      <w:r w:rsidRPr="00880396">
        <w:rPr>
          <w:rFonts w:cstheme="minorHAnsi"/>
        </w:rPr>
        <w:t xml:space="preserve"> will evaluate the</w:t>
      </w:r>
    </w:p>
    <w:p w:rsidR="00282987" w:rsidRPr="00880396" w:rsidRDefault="00075D98" w:rsidP="00282987">
      <w:pPr>
        <w:autoSpaceDE w:val="0"/>
        <w:autoSpaceDN w:val="0"/>
        <w:adjustRightInd w:val="0"/>
        <w:spacing w:after="0" w:line="240" w:lineRule="auto"/>
        <w:rPr>
          <w:rFonts w:cstheme="minorHAnsi"/>
        </w:rPr>
      </w:pPr>
      <w:proofErr w:type="gramStart"/>
      <w:r>
        <w:rPr>
          <w:rFonts w:cstheme="minorHAnsi"/>
        </w:rPr>
        <w:t>Software Product</w:t>
      </w:r>
      <w:r w:rsidR="00282987" w:rsidRPr="00880396">
        <w:rPr>
          <w:rFonts w:cstheme="minorHAnsi"/>
        </w:rPr>
        <w:t xml:space="preserve"> and required Common Criteria submittal documentation for the </w:t>
      </w:r>
      <w:r>
        <w:rPr>
          <w:rFonts w:cstheme="minorHAnsi"/>
        </w:rPr>
        <w:t>Software Product</w:t>
      </w:r>
      <w:r w:rsidR="00282987" w:rsidRPr="00880396">
        <w:rPr>
          <w:rFonts w:cstheme="minorHAnsi"/>
        </w:rPr>
        <w:t>.</w:t>
      </w:r>
      <w:proofErr w:type="gramEnd"/>
      <w:r w:rsidR="00282987" w:rsidRPr="00880396">
        <w:rPr>
          <w:rFonts w:cstheme="minorHAnsi"/>
        </w:rPr>
        <w:t xml:space="preserve"> NIAP will validate the evaluation results and if determined the </w:t>
      </w:r>
      <w:r>
        <w:rPr>
          <w:rFonts w:cstheme="minorHAnsi"/>
        </w:rPr>
        <w:t>Software Product</w:t>
      </w:r>
      <w:r w:rsidR="00282987" w:rsidRPr="00880396">
        <w:rPr>
          <w:rFonts w:cstheme="minorHAnsi"/>
        </w:rPr>
        <w:t xml:space="preserve"> </w:t>
      </w:r>
      <w:bookmarkStart w:id="0" w:name="_GoBack"/>
      <w:bookmarkEnd w:id="0"/>
      <w:r w:rsidR="00282987" w:rsidRPr="00880396">
        <w:rPr>
          <w:rFonts w:cstheme="minorHAnsi"/>
        </w:rPr>
        <w:t>meets appropriate Common Criteria security functional and assurance requirements provide a</w:t>
      </w:r>
      <w:r w:rsidR="003256B3">
        <w:rPr>
          <w:rFonts w:cstheme="minorHAnsi"/>
        </w:rPr>
        <w:t xml:space="preserve"> </w:t>
      </w:r>
      <w:r w:rsidR="00282987" w:rsidRPr="00880396">
        <w:rPr>
          <w:rFonts w:cstheme="minorHAnsi"/>
        </w:rPr>
        <w:t>validation certificate to COE.</w:t>
      </w:r>
    </w:p>
    <w:p w:rsidR="003256B3" w:rsidRDefault="003256B3" w:rsidP="00282987">
      <w:pPr>
        <w:autoSpaceDE w:val="0"/>
        <w:autoSpaceDN w:val="0"/>
        <w:adjustRightInd w:val="0"/>
        <w:spacing w:after="0" w:line="240" w:lineRule="auto"/>
        <w:rPr>
          <w:rFonts w:asciiTheme="majorHAnsi" w:hAnsiTheme="majorHAnsi" w:cstheme="minorHAnsi"/>
          <w:b/>
          <w:bCs/>
        </w:rPr>
      </w:pPr>
      <w:r w:rsidRPr="003256B3">
        <w:rPr>
          <w:rFonts w:asciiTheme="majorHAnsi" w:hAnsiTheme="majorHAnsi" w:cstheme="minorHAnsi"/>
          <w:b/>
          <w:bCs/>
        </w:rPr>
        <w:t>Statement of Work</w:t>
      </w:r>
    </w:p>
    <w:p w:rsidR="00282987" w:rsidRPr="003256B3" w:rsidRDefault="00282987" w:rsidP="003256B3">
      <w:pPr>
        <w:pStyle w:val="ListParagraph"/>
        <w:numPr>
          <w:ilvl w:val="0"/>
          <w:numId w:val="1"/>
        </w:numPr>
        <w:autoSpaceDE w:val="0"/>
        <w:autoSpaceDN w:val="0"/>
        <w:adjustRightInd w:val="0"/>
        <w:spacing w:after="0" w:line="240" w:lineRule="auto"/>
        <w:rPr>
          <w:rFonts w:cstheme="minorHAnsi"/>
        </w:rPr>
      </w:pPr>
      <w:r w:rsidRPr="003256B3">
        <w:rPr>
          <w:rFonts w:cstheme="minorHAnsi"/>
          <w:b/>
          <w:bCs/>
        </w:rPr>
        <w:t xml:space="preserve">COE </w:t>
      </w:r>
      <w:r w:rsidRPr="003256B3">
        <w:rPr>
          <w:rFonts w:cstheme="minorHAnsi"/>
        </w:rPr>
        <w:t>shall generate a Security Target that specifies how Common Criteria Security</w:t>
      </w:r>
      <w:r w:rsidR="003256B3" w:rsidRPr="003256B3">
        <w:rPr>
          <w:rFonts w:cstheme="minorHAnsi"/>
        </w:rPr>
        <w:t xml:space="preserve"> </w:t>
      </w:r>
      <w:r w:rsidRPr="003256B3">
        <w:rPr>
          <w:rFonts w:cstheme="minorHAnsi"/>
        </w:rPr>
        <w:t>Functional Requirements are met. The Security Target shall be specified at Evaluation</w:t>
      </w:r>
      <w:r w:rsidR="003256B3" w:rsidRPr="003256B3">
        <w:rPr>
          <w:rFonts w:cstheme="minorHAnsi"/>
        </w:rPr>
        <w:t xml:space="preserve"> </w:t>
      </w:r>
      <w:r w:rsidRPr="003256B3">
        <w:rPr>
          <w:rFonts w:cstheme="minorHAnsi"/>
        </w:rPr>
        <w:t>Assurance Level (EAL) 2 at per current NIAP requirements. COE shall provide the</w:t>
      </w:r>
      <w:r w:rsidR="003256B3">
        <w:rPr>
          <w:rFonts w:cstheme="minorHAnsi"/>
        </w:rPr>
        <w:t xml:space="preserve"> </w:t>
      </w:r>
      <w:r w:rsidRPr="003256B3">
        <w:rPr>
          <w:rFonts w:cstheme="minorHAnsi"/>
        </w:rPr>
        <w:t xml:space="preserve">Security Target to </w:t>
      </w:r>
      <w:r w:rsidR="003256B3">
        <w:rPr>
          <w:rFonts w:cstheme="minorHAnsi"/>
        </w:rPr>
        <w:t>the Contractor</w:t>
      </w:r>
      <w:r w:rsidRPr="003256B3">
        <w:rPr>
          <w:rFonts w:cstheme="minorHAnsi"/>
        </w:rPr>
        <w:t xml:space="preserve"> for evaluation.</w:t>
      </w:r>
    </w:p>
    <w:p w:rsidR="00282987" w:rsidRPr="003256B3" w:rsidRDefault="003256B3" w:rsidP="003256B3">
      <w:pPr>
        <w:pStyle w:val="ListParagraph"/>
        <w:numPr>
          <w:ilvl w:val="0"/>
          <w:numId w:val="1"/>
        </w:numPr>
        <w:autoSpaceDE w:val="0"/>
        <w:autoSpaceDN w:val="0"/>
        <w:adjustRightInd w:val="0"/>
        <w:spacing w:after="0" w:line="240" w:lineRule="auto"/>
        <w:rPr>
          <w:rFonts w:cstheme="minorHAnsi"/>
        </w:rPr>
      </w:pPr>
      <w:r w:rsidRPr="003256B3">
        <w:rPr>
          <w:rFonts w:cstheme="minorHAnsi"/>
          <w:b/>
          <w:bCs/>
        </w:rPr>
        <w:t>The Contractor</w:t>
      </w:r>
      <w:r w:rsidR="00282987" w:rsidRPr="003256B3">
        <w:rPr>
          <w:rFonts w:cstheme="minorHAnsi"/>
          <w:b/>
          <w:bCs/>
        </w:rPr>
        <w:t xml:space="preserve"> </w:t>
      </w:r>
      <w:r w:rsidR="00282987" w:rsidRPr="003256B3">
        <w:rPr>
          <w:rFonts w:cstheme="minorHAnsi"/>
        </w:rPr>
        <w:t>shall evaluate the Security Target and if necessary provide comments and</w:t>
      </w:r>
      <w:r>
        <w:rPr>
          <w:rFonts w:cstheme="minorHAnsi"/>
        </w:rPr>
        <w:t xml:space="preserve"> </w:t>
      </w:r>
      <w:r w:rsidR="00282987" w:rsidRPr="003256B3">
        <w:rPr>
          <w:rFonts w:cstheme="minorHAnsi"/>
        </w:rPr>
        <w:t>deficiency reports to COE specifying non-conformities in the Security Target.</w:t>
      </w:r>
    </w:p>
    <w:p w:rsidR="00282987" w:rsidRPr="003256B3" w:rsidRDefault="003256B3" w:rsidP="003256B3">
      <w:pPr>
        <w:pStyle w:val="ListParagraph"/>
        <w:numPr>
          <w:ilvl w:val="0"/>
          <w:numId w:val="1"/>
        </w:numPr>
        <w:autoSpaceDE w:val="0"/>
        <w:autoSpaceDN w:val="0"/>
        <w:adjustRightInd w:val="0"/>
        <w:spacing w:after="0" w:line="240" w:lineRule="auto"/>
        <w:rPr>
          <w:rFonts w:cstheme="minorHAnsi"/>
        </w:rPr>
      </w:pPr>
      <w:r w:rsidRPr="003256B3">
        <w:rPr>
          <w:rFonts w:cstheme="minorHAnsi"/>
          <w:b/>
          <w:bCs/>
        </w:rPr>
        <w:t>The Contractor</w:t>
      </w:r>
      <w:r w:rsidR="00282987" w:rsidRPr="003256B3">
        <w:rPr>
          <w:rFonts w:cstheme="minorHAnsi"/>
          <w:b/>
          <w:bCs/>
        </w:rPr>
        <w:t xml:space="preserve"> </w:t>
      </w:r>
      <w:r w:rsidR="00282987" w:rsidRPr="003256B3">
        <w:rPr>
          <w:rFonts w:cstheme="minorHAnsi"/>
        </w:rPr>
        <w:t>shall submit a Read Ahead Package (RAP) to NIAP for the purpose of</w:t>
      </w:r>
      <w:r w:rsidRPr="003256B3">
        <w:rPr>
          <w:rFonts w:cstheme="minorHAnsi"/>
        </w:rPr>
        <w:t xml:space="preserve"> </w:t>
      </w:r>
      <w:r w:rsidR="00282987" w:rsidRPr="003256B3">
        <w:rPr>
          <w:rFonts w:cstheme="minorHAnsi"/>
        </w:rPr>
        <w:t xml:space="preserve">listing </w:t>
      </w:r>
      <w:r w:rsidR="00075D98">
        <w:rPr>
          <w:rFonts w:cstheme="minorHAnsi"/>
        </w:rPr>
        <w:t>Software Product</w:t>
      </w:r>
      <w:r w:rsidR="00282987" w:rsidRPr="003256B3">
        <w:rPr>
          <w:rFonts w:cstheme="minorHAnsi"/>
        </w:rPr>
        <w:t xml:space="preserve"> as specified in the Security Target as “In Evaluation” after all nonconformities</w:t>
      </w:r>
      <w:r>
        <w:rPr>
          <w:rFonts w:cstheme="minorHAnsi"/>
        </w:rPr>
        <w:t xml:space="preserve"> </w:t>
      </w:r>
      <w:r w:rsidR="00282987" w:rsidRPr="003256B3">
        <w:rPr>
          <w:rFonts w:cstheme="minorHAnsi"/>
        </w:rPr>
        <w:t>is rectified.</w:t>
      </w:r>
    </w:p>
    <w:p w:rsidR="00282987" w:rsidRPr="003256B3" w:rsidRDefault="00282987" w:rsidP="003256B3">
      <w:pPr>
        <w:pStyle w:val="ListParagraph"/>
        <w:numPr>
          <w:ilvl w:val="0"/>
          <w:numId w:val="1"/>
        </w:numPr>
        <w:autoSpaceDE w:val="0"/>
        <w:autoSpaceDN w:val="0"/>
        <w:adjustRightInd w:val="0"/>
        <w:spacing w:after="0" w:line="240" w:lineRule="auto"/>
        <w:rPr>
          <w:rFonts w:cstheme="minorHAnsi"/>
        </w:rPr>
      </w:pPr>
      <w:r w:rsidRPr="003256B3">
        <w:rPr>
          <w:rFonts w:cstheme="minorHAnsi"/>
          <w:b/>
          <w:bCs/>
        </w:rPr>
        <w:t xml:space="preserve">NIAP </w:t>
      </w:r>
      <w:r w:rsidRPr="003256B3">
        <w:rPr>
          <w:rFonts w:cstheme="minorHAnsi"/>
        </w:rPr>
        <w:t>will schedule an Initial Validation Oversight Review (VOR) with the lab for the</w:t>
      </w:r>
      <w:r w:rsidR="003256B3">
        <w:rPr>
          <w:rFonts w:cstheme="minorHAnsi"/>
        </w:rPr>
        <w:t xml:space="preserve"> </w:t>
      </w:r>
      <w:r w:rsidRPr="003256B3">
        <w:rPr>
          <w:rFonts w:cstheme="minorHAnsi"/>
        </w:rPr>
        <w:t>purpose of discussing any validation or scheme issues with the Security Target.</w:t>
      </w:r>
    </w:p>
    <w:p w:rsidR="00282987" w:rsidRPr="003256B3" w:rsidRDefault="00282987" w:rsidP="003256B3">
      <w:pPr>
        <w:pStyle w:val="ListParagraph"/>
        <w:numPr>
          <w:ilvl w:val="0"/>
          <w:numId w:val="1"/>
        </w:numPr>
        <w:autoSpaceDE w:val="0"/>
        <w:autoSpaceDN w:val="0"/>
        <w:adjustRightInd w:val="0"/>
        <w:spacing w:after="0" w:line="240" w:lineRule="auto"/>
        <w:rPr>
          <w:rFonts w:cstheme="minorHAnsi"/>
        </w:rPr>
      </w:pPr>
      <w:r w:rsidRPr="003256B3">
        <w:rPr>
          <w:rFonts w:cstheme="minorHAnsi"/>
          <w:b/>
          <w:bCs/>
        </w:rPr>
        <w:t xml:space="preserve">NIAP </w:t>
      </w:r>
      <w:r w:rsidRPr="003256B3">
        <w:rPr>
          <w:rFonts w:cstheme="minorHAnsi"/>
        </w:rPr>
        <w:t>after the satisfactory conclusion to the Initial VOR and any comments generated</w:t>
      </w:r>
      <w:r w:rsidR="003256B3" w:rsidRPr="003256B3">
        <w:rPr>
          <w:rFonts w:cstheme="minorHAnsi"/>
        </w:rPr>
        <w:t xml:space="preserve"> </w:t>
      </w:r>
      <w:r w:rsidRPr="003256B3">
        <w:rPr>
          <w:rFonts w:cstheme="minorHAnsi"/>
        </w:rPr>
        <w:t xml:space="preserve">from the Initial VOR will list the </w:t>
      </w:r>
      <w:r w:rsidR="00075D98">
        <w:rPr>
          <w:rFonts w:cstheme="minorHAnsi"/>
        </w:rPr>
        <w:t>Software Product</w:t>
      </w:r>
      <w:r w:rsidRPr="003256B3">
        <w:rPr>
          <w:rFonts w:cstheme="minorHAnsi"/>
        </w:rPr>
        <w:t xml:space="preserve"> as “In Evaluation” (www.niapccevs.org/in_evaluation/).</w:t>
      </w:r>
    </w:p>
    <w:p w:rsidR="00282987" w:rsidRPr="003256B3" w:rsidRDefault="00282987" w:rsidP="003256B3">
      <w:pPr>
        <w:pStyle w:val="ListParagraph"/>
        <w:numPr>
          <w:ilvl w:val="0"/>
          <w:numId w:val="1"/>
        </w:numPr>
        <w:autoSpaceDE w:val="0"/>
        <w:autoSpaceDN w:val="0"/>
        <w:adjustRightInd w:val="0"/>
        <w:spacing w:after="0" w:line="240" w:lineRule="auto"/>
        <w:rPr>
          <w:rFonts w:cstheme="minorHAnsi"/>
        </w:rPr>
      </w:pPr>
      <w:r w:rsidRPr="003256B3">
        <w:rPr>
          <w:rFonts w:cstheme="minorHAnsi"/>
          <w:b/>
          <w:bCs/>
        </w:rPr>
        <w:t xml:space="preserve">COE </w:t>
      </w:r>
      <w:r w:rsidRPr="003256B3">
        <w:rPr>
          <w:rFonts w:cstheme="minorHAnsi"/>
        </w:rPr>
        <w:t>will generate as necessary and deliver the fo</w:t>
      </w:r>
      <w:r w:rsidR="003256B3" w:rsidRPr="003256B3">
        <w:rPr>
          <w:rFonts w:cstheme="minorHAnsi"/>
        </w:rPr>
        <w:t>llowing documents to the Contractor</w:t>
      </w:r>
      <w:r w:rsidRPr="003256B3">
        <w:rPr>
          <w:rFonts w:cstheme="minorHAnsi"/>
        </w:rPr>
        <w:t>:</w:t>
      </w:r>
      <w:r w:rsidR="003256B3" w:rsidRPr="003256B3">
        <w:rPr>
          <w:rFonts w:cstheme="minorHAnsi"/>
        </w:rPr>
        <w:t xml:space="preserve"> </w:t>
      </w:r>
      <w:r w:rsidRPr="003256B3">
        <w:rPr>
          <w:rFonts w:cstheme="minorHAnsi"/>
        </w:rPr>
        <w:t>Configuration Management, Functional Specification, TOE Design Specification,</w:t>
      </w:r>
      <w:r w:rsidR="003256B3" w:rsidRPr="003256B3">
        <w:rPr>
          <w:rFonts w:cstheme="minorHAnsi"/>
        </w:rPr>
        <w:t xml:space="preserve"> </w:t>
      </w:r>
      <w:r w:rsidRPr="003256B3">
        <w:rPr>
          <w:rFonts w:cstheme="minorHAnsi"/>
        </w:rPr>
        <w:t>Administrator and User Guides, Life Cycle Definition, and Test Documentation. The</w:t>
      </w:r>
      <w:r w:rsidR="003256B3" w:rsidRPr="003256B3">
        <w:rPr>
          <w:rFonts w:cstheme="minorHAnsi"/>
        </w:rPr>
        <w:t xml:space="preserve"> </w:t>
      </w:r>
      <w:r w:rsidRPr="003256B3">
        <w:rPr>
          <w:rFonts w:cstheme="minorHAnsi"/>
        </w:rPr>
        <w:t>delivered documents will be compliant to Common Criteria Assurance Requirements as</w:t>
      </w:r>
      <w:r w:rsidR="003256B3">
        <w:rPr>
          <w:rFonts w:cstheme="minorHAnsi"/>
        </w:rPr>
        <w:t xml:space="preserve"> </w:t>
      </w:r>
      <w:r w:rsidRPr="003256B3">
        <w:rPr>
          <w:rFonts w:cstheme="minorHAnsi"/>
        </w:rPr>
        <w:t>specified under EAL2.</w:t>
      </w:r>
    </w:p>
    <w:p w:rsidR="00282987" w:rsidRPr="003256B3" w:rsidRDefault="003256B3" w:rsidP="003256B3">
      <w:pPr>
        <w:pStyle w:val="ListParagraph"/>
        <w:numPr>
          <w:ilvl w:val="0"/>
          <w:numId w:val="1"/>
        </w:numPr>
        <w:autoSpaceDE w:val="0"/>
        <w:autoSpaceDN w:val="0"/>
        <w:adjustRightInd w:val="0"/>
        <w:spacing w:after="0" w:line="240" w:lineRule="auto"/>
        <w:rPr>
          <w:rFonts w:cstheme="minorHAnsi"/>
        </w:rPr>
      </w:pPr>
      <w:r w:rsidRPr="003256B3">
        <w:rPr>
          <w:rFonts w:cstheme="minorHAnsi"/>
          <w:b/>
          <w:bCs/>
        </w:rPr>
        <w:t>The Contra</w:t>
      </w:r>
      <w:r w:rsidR="00075D98">
        <w:rPr>
          <w:rFonts w:cstheme="minorHAnsi"/>
          <w:b/>
          <w:bCs/>
        </w:rPr>
        <w:t>c</w:t>
      </w:r>
      <w:r w:rsidRPr="003256B3">
        <w:rPr>
          <w:rFonts w:cstheme="minorHAnsi"/>
          <w:b/>
          <w:bCs/>
        </w:rPr>
        <w:t>tor</w:t>
      </w:r>
      <w:r w:rsidR="00282987" w:rsidRPr="003256B3">
        <w:rPr>
          <w:rFonts w:cstheme="minorHAnsi"/>
          <w:b/>
          <w:bCs/>
        </w:rPr>
        <w:t xml:space="preserve"> </w:t>
      </w:r>
      <w:r w:rsidR="00282987" w:rsidRPr="003256B3">
        <w:rPr>
          <w:rFonts w:cstheme="minorHAnsi"/>
        </w:rPr>
        <w:t>will evaluate the delivered documents against EAL2 Assurance</w:t>
      </w:r>
      <w:r w:rsidRPr="003256B3">
        <w:rPr>
          <w:rFonts w:cstheme="minorHAnsi"/>
        </w:rPr>
        <w:t xml:space="preserve"> </w:t>
      </w:r>
      <w:r w:rsidR="00282987" w:rsidRPr="003256B3">
        <w:rPr>
          <w:rFonts w:cstheme="minorHAnsi"/>
        </w:rPr>
        <w:t>Requirements and if necessary provide comments and deficiency reports to COE</w:t>
      </w:r>
      <w:r>
        <w:rPr>
          <w:rFonts w:cstheme="minorHAnsi"/>
        </w:rPr>
        <w:t xml:space="preserve"> </w:t>
      </w:r>
      <w:r w:rsidR="00282987" w:rsidRPr="003256B3">
        <w:rPr>
          <w:rFonts w:cstheme="minorHAnsi"/>
        </w:rPr>
        <w:t>specifying non-conformities.</w:t>
      </w:r>
    </w:p>
    <w:p w:rsidR="00282987" w:rsidRPr="003256B3" w:rsidRDefault="003256B3" w:rsidP="003256B3">
      <w:pPr>
        <w:pStyle w:val="ListParagraph"/>
        <w:numPr>
          <w:ilvl w:val="0"/>
          <w:numId w:val="1"/>
        </w:numPr>
        <w:autoSpaceDE w:val="0"/>
        <w:autoSpaceDN w:val="0"/>
        <w:adjustRightInd w:val="0"/>
        <w:spacing w:after="0" w:line="240" w:lineRule="auto"/>
        <w:rPr>
          <w:rFonts w:cstheme="minorHAnsi"/>
        </w:rPr>
      </w:pPr>
      <w:r w:rsidRPr="003256B3">
        <w:rPr>
          <w:rFonts w:cstheme="minorHAnsi"/>
          <w:b/>
          <w:bCs/>
        </w:rPr>
        <w:t>The Contractor</w:t>
      </w:r>
      <w:r w:rsidR="00282987" w:rsidRPr="003256B3">
        <w:rPr>
          <w:rFonts w:cstheme="minorHAnsi"/>
          <w:b/>
          <w:bCs/>
        </w:rPr>
        <w:t xml:space="preserve"> </w:t>
      </w:r>
      <w:r w:rsidR="00282987" w:rsidRPr="003256B3">
        <w:rPr>
          <w:rFonts w:cstheme="minorHAnsi"/>
        </w:rPr>
        <w:t>will generate a test plan that includes COE testing and new test cased</w:t>
      </w:r>
      <w:r w:rsidRPr="003256B3">
        <w:rPr>
          <w:rFonts w:cstheme="minorHAnsi"/>
        </w:rPr>
        <w:t xml:space="preserve"> </w:t>
      </w:r>
      <w:r w:rsidR="00282987" w:rsidRPr="003256B3">
        <w:rPr>
          <w:rFonts w:cstheme="minorHAnsi"/>
        </w:rPr>
        <w:t xml:space="preserve">generate by </w:t>
      </w:r>
      <w:r w:rsidRPr="003256B3">
        <w:rPr>
          <w:rFonts w:cstheme="minorHAnsi"/>
        </w:rPr>
        <w:t>the Contractor</w:t>
      </w:r>
      <w:r w:rsidR="00282987" w:rsidRPr="003256B3">
        <w:rPr>
          <w:rFonts w:cstheme="minorHAnsi"/>
        </w:rPr>
        <w:t xml:space="preserve"> after all non-conformities is rectified. The test plan will</w:t>
      </w:r>
      <w:r w:rsidRPr="003256B3">
        <w:rPr>
          <w:rFonts w:cstheme="minorHAnsi"/>
        </w:rPr>
        <w:t xml:space="preserve"> </w:t>
      </w:r>
      <w:r w:rsidR="00282987" w:rsidRPr="003256B3">
        <w:rPr>
          <w:rFonts w:cstheme="minorHAnsi"/>
        </w:rPr>
        <w:t>additionally contain vulnerability analysis and testing as required by EAL2 Assurance</w:t>
      </w:r>
      <w:r>
        <w:rPr>
          <w:rFonts w:cstheme="minorHAnsi"/>
        </w:rPr>
        <w:t xml:space="preserve"> </w:t>
      </w:r>
      <w:r w:rsidR="00282987" w:rsidRPr="003256B3">
        <w:rPr>
          <w:rFonts w:cstheme="minorHAnsi"/>
        </w:rPr>
        <w:t>Requirements.</w:t>
      </w:r>
    </w:p>
    <w:p w:rsidR="003256B3" w:rsidRDefault="003256B3" w:rsidP="003256B3">
      <w:pPr>
        <w:pStyle w:val="ListParagraph"/>
        <w:numPr>
          <w:ilvl w:val="0"/>
          <w:numId w:val="1"/>
        </w:numPr>
        <w:autoSpaceDE w:val="0"/>
        <w:autoSpaceDN w:val="0"/>
        <w:adjustRightInd w:val="0"/>
        <w:spacing w:after="0" w:line="240" w:lineRule="auto"/>
        <w:rPr>
          <w:rFonts w:cstheme="minorHAnsi"/>
        </w:rPr>
      </w:pPr>
      <w:r w:rsidRPr="003256B3">
        <w:rPr>
          <w:rFonts w:cstheme="minorHAnsi"/>
          <w:b/>
          <w:bCs/>
        </w:rPr>
        <w:t>The Contractor</w:t>
      </w:r>
      <w:r w:rsidR="00282987" w:rsidRPr="003256B3">
        <w:rPr>
          <w:rFonts w:cstheme="minorHAnsi"/>
          <w:b/>
          <w:bCs/>
        </w:rPr>
        <w:t xml:space="preserve"> </w:t>
      </w:r>
      <w:r w:rsidR="00282987" w:rsidRPr="003256B3">
        <w:rPr>
          <w:rFonts w:cstheme="minorHAnsi"/>
        </w:rPr>
        <w:t>shall submit a Read Ahead Package (RAP) to NIAP for the purpose of</w:t>
      </w:r>
      <w:r w:rsidRPr="003256B3">
        <w:rPr>
          <w:rFonts w:cstheme="minorHAnsi"/>
        </w:rPr>
        <w:t xml:space="preserve"> </w:t>
      </w:r>
      <w:r w:rsidR="00282987" w:rsidRPr="003256B3">
        <w:rPr>
          <w:rFonts w:cstheme="minorHAnsi"/>
        </w:rPr>
        <w:t>proceeding to functional and vulnerability testing.</w:t>
      </w:r>
      <w:r>
        <w:rPr>
          <w:rFonts w:cstheme="minorHAnsi"/>
        </w:rPr>
        <w:t xml:space="preserve"> </w:t>
      </w:r>
    </w:p>
    <w:p w:rsidR="003256B3" w:rsidRPr="003256B3" w:rsidRDefault="003256B3" w:rsidP="003256B3">
      <w:pPr>
        <w:pStyle w:val="ListParagraph"/>
        <w:numPr>
          <w:ilvl w:val="0"/>
          <w:numId w:val="1"/>
        </w:numPr>
        <w:autoSpaceDE w:val="0"/>
        <w:autoSpaceDN w:val="0"/>
        <w:adjustRightInd w:val="0"/>
        <w:spacing w:after="0" w:line="240" w:lineRule="auto"/>
        <w:rPr>
          <w:rFonts w:cstheme="minorHAnsi"/>
        </w:rPr>
      </w:pPr>
      <w:r w:rsidRPr="003256B3">
        <w:rPr>
          <w:rFonts w:cstheme="minorHAnsi"/>
          <w:b/>
          <w:bCs/>
        </w:rPr>
        <w:t xml:space="preserve">NIAP </w:t>
      </w:r>
      <w:r w:rsidRPr="003256B3">
        <w:rPr>
          <w:rFonts w:cstheme="minorHAnsi"/>
        </w:rPr>
        <w:t>will schedule a Test VOR with the lab for the purpose of discussing any validation</w:t>
      </w:r>
    </w:p>
    <w:p w:rsidR="003256B3" w:rsidRPr="003256B3" w:rsidRDefault="003256B3" w:rsidP="003256B3">
      <w:pPr>
        <w:pStyle w:val="ListParagraph"/>
        <w:numPr>
          <w:ilvl w:val="0"/>
          <w:numId w:val="1"/>
        </w:numPr>
        <w:autoSpaceDE w:val="0"/>
        <w:autoSpaceDN w:val="0"/>
        <w:adjustRightInd w:val="0"/>
        <w:spacing w:after="0" w:line="240" w:lineRule="auto"/>
        <w:rPr>
          <w:rFonts w:cstheme="minorHAnsi"/>
        </w:rPr>
      </w:pPr>
      <w:proofErr w:type="gramStart"/>
      <w:r w:rsidRPr="003256B3">
        <w:rPr>
          <w:rFonts w:cstheme="minorHAnsi"/>
        </w:rPr>
        <w:t>or</w:t>
      </w:r>
      <w:proofErr w:type="gramEnd"/>
      <w:r w:rsidRPr="003256B3">
        <w:rPr>
          <w:rFonts w:cstheme="minorHAnsi"/>
        </w:rPr>
        <w:t xml:space="preserve"> scheme issues with the documentation evaluation results and test plan.</w:t>
      </w:r>
    </w:p>
    <w:p w:rsidR="003256B3" w:rsidRPr="003256B3" w:rsidRDefault="003256B3" w:rsidP="003256B3">
      <w:pPr>
        <w:pStyle w:val="ListParagraph"/>
        <w:numPr>
          <w:ilvl w:val="0"/>
          <w:numId w:val="1"/>
        </w:numPr>
        <w:autoSpaceDE w:val="0"/>
        <w:autoSpaceDN w:val="0"/>
        <w:adjustRightInd w:val="0"/>
        <w:spacing w:after="0" w:line="240" w:lineRule="auto"/>
        <w:rPr>
          <w:rFonts w:cstheme="minorHAnsi"/>
        </w:rPr>
      </w:pPr>
      <w:r w:rsidRPr="003256B3">
        <w:rPr>
          <w:rFonts w:cstheme="minorHAnsi"/>
          <w:b/>
          <w:bCs/>
        </w:rPr>
        <w:t xml:space="preserve">NIAP </w:t>
      </w:r>
      <w:r w:rsidRPr="003256B3">
        <w:rPr>
          <w:rFonts w:cstheme="minorHAnsi"/>
        </w:rPr>
        <w:t>after the satisfactory conclusion to the Test VOR will permit the lab to conduct</w:t>
      </w:r>
    </w:p>
    <w:p w:rsidR="00282987" w:rsidRPr="003256B3" w:rsidRDefault="003256B3" w:rsidP="003256B3">
      <w:pPr>
        <w:pStyle w:val="ListParagraph"/>
        <w:numPr>
          <w:ilvl w:val="0"/>
          <w:numId w:val="1"/>
        </w:numPr>
        <w:autoSpaceDE w:val="0"/>
        <w:autoSpaceDN w:val="0"/>
        <w:adjustRightInd w:val="0"/>
        <w:spacing w:after="0" w:line="240" w:lineRule="auto"/>
        <w:rPr>
          <w:rFonts w:cstheme="minorHAnsi"/>
        </w:rPr>
      </w:pPr>
      <w:proofErr w:type="gramStart"/>
      <w:r>
        <w:rPr>
          <w:rFonts w:ascii="Times New Roman" w:hAnsi="Times New Roman" w:cs="Times New Roman"/>
          <w:sz w:val="24"/>
          <w:szCs w:val="24"/>
        </w:rPr>
        <w:t>testing</w:t>
      </w:r>
      <w:proofErr w:type="gramEnd"/>
      <w:r>
        <w:rPr>
          <w:rFonts w:ascii="Times New Roman" w:hAnsi="Times New Roman" w:cs="Times New Roman"/>
          <w:sz w:val="24"/>
          <w:szCs w:val="24"/>
        </w:rPr>
        <w:t>.</w:t>
      </w:r>
    </w:p>
    <w:p w:rsidR="00282987" w:rsidRPr="003256B3" w:rsidRDefault="003256B3" w:rsidP="003256B3">
      <w:pPr>
        <w:pStyle w:val="ListParagraph"/>
        <w:numPr>
          <w:ilvl w:val="0"/>
          <w:numId w:val="1"/>
        </w:numPr>
        <w:autoSpaceDE w:val="0"/>
        <w:autoSpaceDN w:val="0"/>
        <w:adjustRightInd w:val="0"/>
        <w:spacing w:after="0" w:line="240" w:lineRule="auto"/>
        <w:rPr>
          <w:rFonts w:cstheme="minorHAnsi"/>
        </w:rPr>
      </w:pPr>
      <w:r>
        <w:rPr>
          <w:rFonts w:cstheme="minorHAnsi"/>
          <w:b/>
          <w:bCs/>
        </w:rPr>
        <w:t>The Contractor</w:t>
      </w:r>
      <w:r w:rsidR="00282987" w:rsidRPr="003256B3">
        <w:rPr>
          <w:rFonts w:cstheme="minorHAnsi"/>
          <w:b/>
          <w:bCs/>
        </w:rPr>
        <w:t xml:space="preserve"> </w:t>
      </w:r>
      <w:r w:rsidR="00282987" w:rsidRPr="003256B3">
        <w:rPr>
          <w:rFonts w:cstheme="minorHAnsi"/>
        </w:rPr>
        <w:t>will conduct testing at the COE facilities against the NIAP approved test</w:t>
      </w:r>
    </w:p>
    <w:p w:rsidR="00282987" w:rsidRPr="003256B3" w:rsidRDefault="00282987" w:rsidP="003256B3">
      <w:pPr>
        <w:pStyle w:val="ListParagraph"/>
        <w:numPr>
          <w:ilvl w:val="0"/>
          <w:numId w:val="1"/>
        </w:numPr>
        <w:autoSpaceDE w:val="0"/>
        <w:autoSpaceDN w:val="0"/>
        <w:adjustRightInd w:val="0"/>
        <w:spacing w:after="0" w:line="240" w:lineRule="auto"/>
        <w:rPr>
          <w:rFonts w:cstheme="minorHAnsi"/>
        </w:rPr>
      </w:pPr>
      <w:proofErr w:type="gramStart"/>
      <w:r w:rsidRPr="003256B3">
        <w:rPr>
          <w:rFonts w:cstheme="minorHAnsi"/>
        </w:rPr>
        <w:t>plan</w:t>
      </w:r>
      <w:proofErr w:type="gramEnd"/>
      <w:r w:rsidRPr="003256B3">
        <w:rPr>
          <w:rFonts w:cstheme="minorHAnsi"/>
        </w:rPr>
        <w:t>.</w:t>
      </w:r>
    </w:p>
    <w:p w:rsidR="00282987" w:rsidRPr="003256B3" w:rsidRDefault="003256B3" w:rsidP="003256B3">
      <w:pPr>
        <w:pStyle w:val="ListParagraph"/>
        <w:numPr>
          <w:ilvl w:val="0"/>
          <w:numId w:val="1"/>
        </w:numPr>
        <w:autoSpaceDE w:val="0"/>
        <w:autoSpaceDN w:val="0"/>
        <w:adjustRightInd w:val="0"/>
        <w:spacing w:after="0" w:line="240" w:lineRule="auto"/>
        <w:rPr>
          <w:rFonts w:cstheme="minorHAnsi"/>
        </w:rPr>
      </w:pPr>
      <w:r>
        <w:rPr>
          <w:rFonts w:cstheme="minorHAnsi"/>
          <w:b/>
          <w:bCs/>
        </w:rPr>
        <w:t>The Contractor</w:t>
      </w:r>
      <w:r w:rsidR="00282987" w:rsidRPr="003256B3">
        <w:rPr>
          <w:rFonts w:cstheme="minorHAnsi"/>
          <w:b/>
          <w:bCs/>
        </w:rPr>
        <w:t xml:space="preserve"> </w:t>
      </w:r>
      <w:r w:rsidR="00282987" w:rsidRPr="003256B3">
        <w:rPr>
          <w:rFonts w:cstheme="minorHAnsi"/>
        </w:rPr>
        <w:t>at the successful conclusion of testing shall submit a Read Ahead Package</w:t>
      </w:r>
    </w:p>
    <w:p w:rsidR="00282987" w:rsidRPr="003256B3" w:rsidRDefault="00282987" w:rsidP="003256B3">
      <w:pPr>
        <w:pStyle w:val="ListParagraph"/>
        <w:numPr>
          <w:ilvl w:val="0"/>
          <w:numId w:val="1"/>
        </w:numPr>
        <w:autoSpaceDE w:val="0"/>
        <w:autoSpaceDN w:val="0"/>
        <w:adjustRightInd w:val="0"/>
        <w:spacing w:after="0" w:line="240" w:lineRule="auto"/>
        <w:rPr>
          <w:rFonts w:cstheme="minorHAnsi"/>
        </w:rPr>
      </w:pPr>
      <w:r w:rsidRPr="003256B3">
        <w:rPr>
          <w:rFonts w:cstheme="minorHAnsi"/>
        </w:rPr>
        <w:t>(RAP) to NIAP for the purpose of proceeding final validation.</w:t>
      </w:r>
    </w:p>
    <w:p w:rsidR="00282987" w:rsidRPr="003256B3" w:rsidRDefault="00282987" w:rsidP="003256B3">
      <w:pPr>
        <w:pStyle w:val="ListParagraph"/>
        <w:numPr>
          <w:ilvl w:val="0"/>
          <w:numId w:val="1"/>
        </w:numPr>
        <w:autoSpaceDE w:val="0"/>
        <w:autoSpaceDN w:val="0"/>
        <w:adjustRightInd w:val="0"/>
        <w:spacing w:after="0" w:line="240" w:lineRule="auto"/>
        <w:rPr>
          <w:rFonts w:cstheme="minorHAnsi"/>
        </w:rPr>
      </w:pPr>
      <w:r w:rsidRPr="003256B3">
        <w:rPr>
          <w:rFonts w:cstheme="minorHAnsi"/>
          <w:b/>
          <w:bCs/>
        </w:rPr>
        <w:t xml:space="preserve">NIAP </w:t>
      </w:r>
      <w:r w:rsidRPr="003256B3">
        <w:rPr>
          <w:rFonts w:cstheme="minorHAnsi"/>
        </w:rPr>
        <w:t>will schedule a Final VOR with the lab for the purpose of discussing any</w:t>
      </w:r>
    </w:p>
    <w:p w:rsidR="00282987" w:rsidRPr="003256B3" w:rsidRDefault="00282987" w:rsidP="003256B3">
      <w:pPr>
        <w:pStyle w:val="ListParagraph"/>
        <w:numPr>
          <w:ilvl w:val="0"/>
          <w:numId w:val="1"/>
        </w:numPr>
        <w:autoSpaceDE w:val="0"/>
        <w:autoSpaceDN w:val="0"/>
        <w:adjustRightInd w:val="0"/>
        <w:spacing w:after="0" w:line="240" w:lineRule="auto"/>
        <w:rPr>
          <w:rFonts w:cstheme="minorHAnsi"/>
        </w:rPr>
      </w:pPr>
      <w:proofErr w:type="gramStart"/>
      <w:r w:rsidRPr="003256B3">
        <w:rPr>
          <w:rFonts w:cstheme="minorHAnsi"/>
        </w:rPr>
        <w:t>validation</w:t>
      </w:r>
      <w:proofErr w:type="gramEnd"/>
      <w:r w:rsidRPr="003256B3">
        <w:rPr>
          <w:rFonts w:cstheme="minorHAnsi"/>
        </w:rPr>
        <w:t xml:space="preserve"> or scheme issues with testing.</w:t>
      </w:r>
    </w:p>
    <w:p w:rsidR="00282987" w:rsidRPr="003256B3" w:rsidRDefault="00282987" w:rsidP="003256B3">
      <w:pPr>
        <w:pStyle w:val="ListParagraph"/>
        <w:numPr>
          <w:ilvl w:val="0"/>
          <w:numId w:val="1"/>
        </w:numPr>
        <w:autoSpaceDE w:val="0"/>
        <w:autoSpaceDN w:val="0"/>
        <w:adjustRightInd w:val="0"/>
        <w:spacing w:after="0" w:line="240" w:lineRule="auto"/>
        <w:rPr>
          <w:rFonts w:cstheme="minorHAnsi"/>
        </w:rPr>
      </w:pPr>
      <w:r w:rsidRPr="003256B3">
        <w:rPr>
          <w:rFonts w:cstheme="minorHAnsi"/>
          <w:b/>
          <w:bCs/>
        </w:rPr>
        <w:t xml:space="preserve">NIAP </w:t>
      </w:r>
      <w:r w:rsidRPr="003256B3">
        <w:rPr>
          <w:rFonts w:cstheme="minorHAnsi"/>
        </w:rPr>
        <w:t>after the satisfactory conclusion to the Final VOR will produce a validation</w:t>
      </w:r>
    </w:p>
    <w:p w:rsidR="00282987" w:rsidRPr="003256B3" w:rsidRDefault="00282987" w:rsidP="003256B3">
      <w:pPr>
        <w:pStyle w:val="ListParagraph"/>
        <w:numPr>
          <w:ilvl w:val="0"/>
          <w:numId w:val="1"/>
        </w:numPr>
        <w:autoSpaceDE w:val="0"/>
        <w:autoSpaceDN w:val="0"/>
        <w:adjustRightInd w:val="0"/>
        <w:spacing w:after="0" w:line="240" w:lineRule="auto"/>
        <w:rPr>
          <w:rFonts w:cstheme="minorHAnsi"/>
        </w:rPr>
      </w:pPr>
      <w:proofErr w:type="gramStart"/>
      <w:r w:rsidRPr="003256B3">
        <w:rPr>
          <w:rFonts w:cstheme="minorHAnsi"/>
        </w:rPr>
        <w:t>certificate</w:t>
      </w:r>
      <w:proofErr w:type="gramEnd"/>
      <w:r w:rsidRPr="003256B3">
        <w:rPr>
          <w:rFonts w:cstheme="minorHAnsi"/>
        </w:rPr>
        <w:t xml:space="preserve"> for the version of </w:t>
      </w:r>
      <w:r w:rsidR="00075D98">
        <w:rPr>
          <w:rFonts w:cstheme="minorHAnsi"/>
        </w:rPr>
        <w:t>Software Product</w:t>
      </w:r>
      <w:r w:rsidRPr="003256B3">
        <w:rPr>
          <w:rFonts w:cstheme="minorHAnsi"/>
        </w:rPr>
        <w:t xml:space="preserve"> tested.</w:t>
      </w:r>
    </w:p>
    <w:p w:rsidR="003256B3" w:rsidRDefault="003256B3">
      <w:pPr>
        <w:rPr>
          <w:rFonts w:cstheme="minorHAnsi"/>
          <w:b/>
          <w:bCs/>
        </w:rPr>
      </w:pPr>
      <w:r>
        <w:rPr>
          <w:rFonts w:cstheme="minorHAnsi"/>
          <w:b/>
          <w:bCs/>
        </w:rPr>
        <w:br w:type="page"/>
      </w:r>
    </w:p>
    <w:p w:rsidR="00282987" w:rsidRPr="003256B3" w:rsidRDefault="00282987" w:rsidP="00282987">
      <w:pPr>
        <w:autoSpaceDE w:val="0"/>
        <w:autoSpaceDN w:val="0"/>
        <w:adjustRightInd w:val="0"/>
        <w:spacing w:after="0" w:line="240" w:lineRule="auto"/>
        <w:rPr>
          <w:rFonts w:asciiTheme="majorHAnsi" w:hAnsiTheme="majorHAnsi" w:cstheme="minorHAnsi"/>
          <w:b/>
          <w:bCs/>
        </w:rPr>
      </w:pPr>
      <w:r w:rsidRPr="003256B3">
        <w:rPr>
          <w:rFonts w:asciiTheme="majorHAnsi" w:hAnsiTheme="majorHAnsi" w:cstheme="minorHAnsi"/>
          <w:b/>
          <w:bCs/>
        </w:rPr>
        <w:lastRenderedPageBreak/>
        <w:t>Deliverables</w:t>
      </w:r>
    </w:p>
    <w:p w:rsidR="00282987" w:rsidRPr="00880396" w:rsidRDefault="00282987" w:rsidP="00282987">
      <w:pPr>
        <w:autoSpaceDE w:val="0"/>
        <w:autoSpaceDN w:val="0"/>
        <w:adjustRightInd w:val="0"/>
        <w:spacing w:after="0" w:line="240" w:lineRule="auto"/>
        <w:rPr>
          <w:rFonts w:cstheme="minorHAnsi"/>
          <w:b/>
          <w:bCs/>
        </w:rPr>
      </w:pPr>
      <w:r w:rsidRPr="00880396">
        <w:rPr>
          <w:rFonts w:cstheme="minorHAnsi"/>
          <w:b/>
          <w:bCs/>
        </w:rPr>
        <w:t>COE</w:t>
      </w:r>
    </w:p>
    <w:p w:rsidR="00282987" w:rsidRPr="00473C9A" w:rsidRDefault="00282987" w:rsidP="00473C9A">
      <w:pPr>
        <w:pStyle w:val="ListParagraph"/>
        <w:numPr>
          <w:ilvl w:val="0"/>
          <w:numId w:val="3"/>
        </w:numPr>
        <w:autoSpaceDE w:val="0"/>
        <w:autoSpaceDN w:val="0"/>
        <w:adjustRightInd w:val="0"/>
        <w:spacing w:after="0" w:line="240" w:lineRule="auto"/>
        <w:rPr>
          <w:rFonts w:cstheme="minorHAnsi"/>
        </w:rPr>
      </w:pPr>
      <w:r w:rsidRPr="00473C9A">
        <w:rPr>
          <w:rFonts w:cstheme="minorHAnsi"/>
          <w:b/>
          <w:bCs/>
        </w:rPr>
        <w:t xml:space="preserve">Letter of Intent </w:t>
      </w:r>
      <w:r w:rsidRPr="00473C9A">
        <w:rPr>
          <w:rFonts w:cstheme="minorHAnsi"/>
        </w:rPr>
        <w:t>satisfying NIAP Policy Letter #12 (www.niapccevs.org/policy/ccevs/policy-ltr-12-update3.pdf).</w:t>
      </w:r>
    </w:p>
    <w:p w:rsidR="00282987" w:rsidRPr="00473C9A" w:rsidRDefault="00282987" w:rsidP="00473C9A">
      <w:pPr>
        <w:pStyle w:val="ListParagraph"/>
        <w:numPr>
          <w:ilvl w:val="0"/>
          <w:numId w:val="3"/>
        </w:numPr>
        <w:autoSpaceDE w:val="0"/>
        <w:autoSpaceDN w:val="0"/>
        <w:adjustRightInd w:val="0"/>
        <w:spacing w:after="0" w:line="240" w:lineRule="auto"/>
        <w:rPr>
          <w:rFonts w:cstheme="minorHAnsi"/>
        </w:rPr>
      </w:pPr>
      <w:r w:rsidRPr="00473C9A">
        <w:rPr>
          <w:rFonts w:cstheme="minorHAnsi"/>
          <w:b/>
          <w:bCs/>
        </w:rPr>
        <w:t xml:space="preserve">Security Target </w:t>
      </w:r>
      <w:r w:rsidRPr="00473C9A">
        <w:rPr>
          <w:rFonts w:cstheme="minorHAnsi"/>
        </w:rPr>
        <w:t>for the Target of Evaluation (TOE) that has been reviewed by NIAP</w:t>
      </w:r>
      <w:r w:rsidR="00473C9A" w:rsidRPr="00473C9A">
        <w:rPr>
          <w:rFonts w:cstheme="minorHAnsi"/>
        </w:rPr>
        <w:t xml:space="preserve"> </w:t>
      </w:r>
      <w:r w:rsidRPr="00473C9A">
        <w:rPr>
          <w:rFonts w:cstheme="minorHAnsi"/>
        </w:rPr>
        <w:t>and approved to be in condition to proceed with the evaluation or an evaluated</w:t>
      </w:r>
      <w:r w:rsidR="00473C9A">
        <w:rPr>
          <w:rFonts w:cstheme="minorHAnsi"/>
        </w:rPr>
        <w:t xml:space="preserve"> </w:t>
      </w:r>
      <w:r w:rsidRPr="00473C9A">
        <w:rPr>
          <w:rFonts w:cstheme="minorHAnsi"/>
        </w:rPr>
        <w:t>Security Target by an accredited Common Criteria Test Laboratory (CCTL).</w:t>
      </w:r>
    </w:p>
    <w:p w:rsidR="00282987" w:rsidRPr="00473C9A" w:rsidRDefault="00282987" w:rsidP="00473C9A">
      <w:pPr>
        <w:pStyle w:val="ListParagraph"/>
        <w:numPr>
          <w:ilvl w:val="0"/>
          <w:numId w:val="3"/>
        </w:numPr>
        <w:autoSpaceDE w:val="0"/>
        <w:autoSpaceDN w:val="0"/>
        <w:adjustRightInd w:val="0"/>
        <w:spacing w:after="0" w:line="240" w:lineRule="auto"/>
        <w:rPr>
          <w:rFonts w:cstheme="minorHAnsi"/>
        </w:rPr>
      </w:pPr>
      <w:r w:rsidRPr="00473C9A">
        <w:rPr>
          <w:rFonts w:cstheme="minorHAnsi"/>
          <w:b/>
          <w:bCs/>
        </w:rPr>
        <w:t xml:space="preserve">Configuration Management </w:t>
      </w:r>
      <w:r w:rsidRPr="00473C9A">
        <w:rPr>
          <w:rFonts w:cstheme="minorHAnsi"/>
        </w:rPr>
        <w:t>(lists of software elements of the TOE), which include</w:t>
      </w:r>
      <w:r w:rsidR="00473C9A" w:rsidRPr="00473C9A">
        <w:rPr>
          <w:rFonts w:cstheme="minorHAnsi"/>
        </w:rPr>
        <w:t xml:space="preserve"> </w:t>
      </w:r>
      <w:r w:rsidRPr="00473C9A">
        <w:rPr>
          <w:rFonts w:cstheme="minorHAnsi"/>
        </w:rPr>
        <w:t>identifying information such as version numbers; a description of the Configuration</w:t>
      </w:r>
      <w:r w:rsidR="00473C9A" w:rsidRPr="00473C9A">
        <w:rPr>
          <w:rFonts w:cstheme="minorHAnsi"/>
        </w:rPr>
        <w:t xml:space="preserve"> </w:t>
      </w:r>
      <w:r w:rsidRPr="00473C9A">
        <w:rPr>
          <w:rFonts w:cstheme="minorHAnsi"/>
        </w:rPr>
        <w:t>Management system and versioning is accomplished and automated aspects of the</w:t>
      </w:r>
      <w:r w:rsidR="00473C9A">
        <w:rPr>
          <w:rFonts w:cstheme="minorHAnsi"/>
        </w:rPr>
        <w:t xml:space="preserve"> </w:t>
      </w:r>
      <w:r w:rsidRPr="00473C9A">
        <w:rPr>
          <w:rFonts w:cstheme="minorHAnsi"/>
        </w:rPr>
        <w:t>system.</w:t>
      </w:r>
    </w:p>
    <w:p w:rsidR="00282987" w:rsidRPr="00473C9A" w:rsidRDefault="00282987" w:rsidP="00473C9A">
      <w:pPr>
        <w:pStyle w:val="ListParagraph"/>
        <w:numPr>
          <w:ilvl w:val="0"/>
          <w:numId w:val="3"/>
        </w:numPr>
        <w:autoSpaceDE w:val="0"/>
        <w:autoSpaceDN w:val="0"/>
        <w:adjustRightInd w:val="0"/>
        <w:spacing w:after="0" w:line="240" w:lineRule="auto"/>
        <w:rPr>
          <w:rFonts w:cstheme="minorHAnsi"/>
        </w:rPr>
      </w:pPr>
      <w:r w:rsidRPr="00473C9A">
        <w:rPr>
          <w:rFonts w:cstheme="minorHAnsi"/>
          <w:b/>
          <w:bCs/>
        </w:rPr>
        <w:t>Functional Specification</w:t>
      </w:r>
      <w:r w:rsidRPr="00473C9A">
        <w:rPr>
          <w:rFonts w:cstheme="minorHAnsi"/>
        </w:rPr>
        <w:t>, which describes all security functions and all external</w:t>
      </w:r>
      <w:r w:rsidR="00473C9A">
        <w:rPr>
          <w:rFonts w:cstheme="minorHAnsi"/>
        </w:rPr>
        <w:t xml:space="preserve"> </w:t>
      </w:r>
      <w:r w:rsidRPr="00473C9A">
        <w:rPr>
          <w:rFonts w:cstheme="minorHAnsi"/>
        </w:rPr>
        <w:t>interfaces.</w:t>
      </w:r>
    </w:p>
    <w:p w:rsidR="00282987" w:rsidRPr="00473C9A" w:rsidRDefault="00282987" w:rsidP="00473C9A">
      <w:pPr>
        <w:pStyle w:val="ListParagraph"/>
        <w:numPr>
          <w:ilvl w:val="0"/>
          <w:numId w:val="3"/>
        </w:numPr>
        <w:autoSpaceDE w:val="0"/>
        <w:autoSpaceDN w:val="0"/>
        <w:adjustRightInd w:val="0"/>
        <w:spacing w:after="0" w:line="240" w:lineRule="auto"/>
        <w:rPr>
          <w:rFonts w:cstheme="minorHAnsi"/>
        </w:rPr>
      </w:pPr>
      <w:r w:rsidRPr="00473C9A">
        <w:rPr>
          <w:rFonts w:cstheme="minorHAnsi"/>
          <w:b/>
          <w:bCs/>
        </w:rPr>
        <w:t>Toe Design Specification</w:t>
      </w:r>
      <w:r w:rsidRPr="00473C9A">
        <w:rPr>
          <w:rFonts w:cstheme="minorHAnsi"/>
        </w:rPr>
        <w:t>, which defines subsystems; describes security functionality</w:t>
      </w:r>
      <w:r w:rsidR="00473C9A" w:rsidRPr="00473C9A">
        <w:rPr>
          <w:rFonts w:cstheme="minorHAnsi"/>
        </w:rPr>
        <w:t xml:space="preserve"> </w:t>
      </w:r>
      <w:r w:rsidRPr="00473C9A">
        <w:rPr>
          <w:rFonts w:cstheme="minorHAnsi"/>
        </w:rPr>
        <w:t>of sub-systems; identifies underlying hardware, firmware and software; identifies</w:t>
      </w:r>
      <w:r w:rsidR="00473C9A">
        <w:rPr>
          <w:rFonts w:cstheme="minorHAnsi"/>
        </w:rPr>
        <w:t xml:space="preserve"> </w:t>
      </w:r>
      <w:r w:rsidRPr="00473C9A">
        <w:rPr>
          <w:rFonts w:cstheme="minorHAnsi"/>
        </w:rPr>
        <w:t>interfaces to sub-systems.</w:t>
      </w:r>
    </w:p>
    <w:p w:rsidR="00282987" w:rsidRPr="00473C9A" w:rsidRDefault="00282987" w:rsidP="00473C9A">
      <w:pPr>
        <w:pStyle w:val="ListParagraph"/>
        <w:numPr>
          <w:ilvl w:val="0"/>
          <w:numId w:val="3"/>
        </w:numPr>
        <w:autoSpaceDE w:val="0"/>
        <w:autoSpaceDN w:val="0"/>
        <w:adjustRightInd w:val="0"/>
        <w:spacing w:after="0" w:line="240" w:lineRule="auto"/>
        <w:rPr>
          <w:rFonts w:cstheme="minorHAnsi"/>
        </w:rPr>
      </w:pPr>
      <w:r w:rsidRPr="00473C9A">
        <w:rPr>
          <w:rFonts w:cstheme="minorHAnsi"/>
          <w:b/>
          <w:bCs/>
        </w:rPr>
        <w:t>Administrator Guidance</w:t>
      </w:r>
      <w:r w:rsidRPr="00473C9A">
        <w:rPr>
          <w:rFonts w:cstheme="minorHAnsi"/>
        </w:rPr>
        <w:t>, describing Administrative functions and interfaces;</w:t>
      </w:r>
      <w:r w:rsidR="00473C9A" w:rsidRPr="00473C9A">
        <w:rPr>
          <w:rFonts w:cstheme="minorHAnsi"/>
        </w:rPr>
        <w:t xml:space="preserve"> </w:t>
      </w:r>
      <w:r w:rsidRPr="00473C9A">
        <w:rPr>
          <w:rFonts w:cstheme="minorHAnsi"/>
        </w:rPr>
        <w:t>warnings about functions and privileges that should be controlled; assumptions of</w:t>
      </w:r>
      <w:r w:rsidR="00473C9A" w:rsidRPr="00473C9A">
        <w:rPr>
          <w:rFonts w:cstheme="minorHAnsi"/>
        </w:rPr>
        <w:t xml:space="preserve"> </w:t>
      </w:r>
      <w:r w:rsidRPr="00473C9A">
        <w:rPr>
          <w:rFonts w:cstheme="minorHAnsi"/>
        </w:rPr>
        <w:t>user behavior; descriptions of all security parameters under the control of the</w:t>
      </w:r>
      <w:r w:rsidR="00473C9A">
        <w:rPr>
          <w:rFonts w:cstheme="minorHAnsi"/>
        </w:rPr>
        <w:t xml:space="preserve"> </w:t>
      </w:r>
      <w:r w:rsidRPr="00473C9A">
        <w:rPr>
          <w:rFonts w:cstheme="minorHAnsi"/>
        </w:rPr>
        <w:t>administrator; description of security relevant events; modes of operation of the TOE.</w:t>
      </w:r>
    </w:p>
    <w:p w:rsidR="00282987" w:rsidRPr="00473C9A" w:rsidRDefault="00282987" w:rsidP="00473C9A">
      <w:pPr>
        <w:pStyle w:val="ListParagraph"/>
        <w:numPr>
          <w:ilvl w:val="0"/>
          <w:numId w:val="3"/>
        </w:numPr>
        <w:autoSpaceDE w:val="0"/>
        <w:autoSpaceDN w:val="0"/>
        <w:adjustRightInd w:val="0"/>
        <w:spacing w:after="0" w:line="240" w:lineRule="auto"/>
        <w:rPr>
          <w:rFonts w:cstheme="minorHAnsi"/>
        </w:rPr>
      </w:pPr>
      <w:r w:rsidRPr="00473C9A">
        <w:rPr>
          <w:rFonts w:cstheme="minorHAnsi"/>
          <w:b/>
          <w:bCs/>
        </w:rPr>
        <w:t>Security Architecture Description</w:t>
      </w:r>
      <w:r w:rsidRPr="00473C9A">
        <w:rPr>
          <w:rFonts w:cstheme="minorHAnsi"/>
        </w:rPr>
        <w:t>, which provides a description of the security</w:t>
      </w:r>
      <w:r w:rsidR="00473C9A">
        <w:rPr>
          <w:rFonts w:cstheme="minorHAnsi"/>
        </w:rPr>
        <w:t xml:space="preserve"> </w:t>
      </w:r>
      <w:r w:rsidRPr="00473C9A">
        <w:rPr>
          <w:rFonts w:cstheme="minorHAnsi"/>
        </w:rPr>
        <w:t>architecture of the TOE.</w:t>
      </w:r>
    </w:p>
    <w:p w:rsidR="00282987" w:rsidRPr="00473C9A" w:rsidRDefault="00282987" w:rsidP="00473C9A">
      <w:pPr>
        <w:pStyle w:val="ListParagraph"/>
        <w:numPr>
          <w:ilvl w:val="0"/>
          <w:numId w:val="3"/>
        </w:numPr>
        <w:autoSpaceDE w:val="0"/>
        <w:autoSpaceDN w:val="0"/>
        <w:adjustRightInd w:val="0"/>
        <w:spacing w:after="0" w:line="240" w:lineRule="auto"/>
        <w:rPr>
          <w:rFonts w:cstheme="minorHAnsi"/>
          <w:b/>
          <w:bCs/>
        </w:rPr>
      </w:pPr>
      <w:r w:rsidRPr="00473C9A">
        <w:rPr>
          <w:rFonts w:cstheme="minorHAnsi"/>
          <w:b/>
          <w:bCs/>
        </w:rPr>
        <w:t>Users’ Guide</w:t>
      </w:r>
    </w:p>
    <w:p w:rsidR="00282987" w:rsidRPr="00473C9A" w:rsidRDefault="00282987" w:rsidP="00473C9A">
      <w:pPr>
        <w:pStyle w:val="ListParagraph"/>
        <w:numPr>
          <w:ilvl w:val="0"/>
          <w:numId w:val="3"/>
        </w:numPr>
        <w:autoSpaceDE w:val="0"/>
        <w:autoSpaceDN w:val="0"/>
        <w:adjustRightInd w:val="0"/>
        <w:spacing w:after="0" w:line="240" w:lineRule="auto"/>
        <w:rPr>
          <w:rFonts w:cstheme="minorHAnsi"/>
        </w:rPr>
      </w:pPr>
      <w:r w:rsidRPr="00473C9A">
        <w:rPr>
          <w:rFonts w:cstheme="minorHAnsi"/>
          <w:b/>
          <w:bCs/>
        </w:rPr>
        <w:t>Life Cycle Documentation</w:t>
      </w:r>
      <w:r w:rsidRPr="00473C9A">
        <w:rPr>
          <w:rFonts w:cstheme="minorHAnsi"/>
        </w:rPr>
        <w:t>, which includes secure delivery documentation and flaw</w:t>
      </w:r>
      <w:r w:rsidR="00473C9A">
        <w:rPr>
          <w:rFonts w:cstheme="minorHAnsi"/>
        </w:rPr>
        <w:t xml:space="preserve"> </w:t>
      </w:r>
      <w:r w:rsidRPr="00473C9A">
        <w:rPr>
          <w:rFonts w:cstheme="minorHAnsi"/>
        </w:rPr>
        <w:t>remediation procedures.</w:t>
      </w:r>
    </w:p>
    <w:p w:rsidR="00282987" w:rsidRPr="00473C9A" w:rsidRDefault="00282987" w:rsidP="00473C9A">
      <w:pPr>
        <w:pStyle w:val="ListParagraph"/>
        <w:numPr>
          <w:ilvl w:val="0"/>
          <w:numId w:val="3"/>
        </w:numPr>
        <w:autoSpaceDE w:val="0"/>
        <w:autoSpaceDN w:val="0"/>
        <w:adjustRightInd w:val="0"/>
        <w:spacing w:after="0" w:line="240" w:lineRule="auto"/>
        <w:rPr>
          <w:rFonts w:cstheme="minorHAnsi"/>
        </w:rPr>
      </w:pPr>
      <w:r w:rsidRPr="00473C9A">
        <w:rPr>
          <w:rFonts w:cstheme="minorHAnsi"/>
          <w:b/>
          <w:bCs/>
        </w:rPr>
        <w:t xml:space="preserve">Test Documentation </w:t>
      </w:r>
      <w:r w:rsidRPr="00473C9A">
        <w:rPr>
          <w:rFonts w:cstheme="minorHAnsi"/>
        </w:rPr>
        <w:t>– Showing test coverage against security functions, Test Plans</w:t>
      </w:r>
      <w:r w:rsidR="00473C9A" w:rsidRPr="00473C9A">
        <w:rPr>
          <w:rFonts w:cstheme="minorHAnsi"/>
        </w:rPr>
        <w:t xml:space="preserve"> </w:t>
      </w:r>
      <w:r w:rsidRPr="00473C9A">
        <w:rPr>
          <w:rFonts w:cstheme="minorHAnsi"/>
        </w:rPr>
        <w:t>Test Procedures, which include detailed scenarios, expected results, and actual</w:t>
      </w:r>
      <w:r w:rsidR="00473C9A">
        <w:rPr>
          <w:rFonts w:cstheme="minorHAnsi"/>
        </w:rPr>
        <w:t xml:space="preserve"> </w:t>
      </w:r>
      <w:r w:rsidRPr="00473C9A">
        <w:rPr>
          <w:rFonts w:cstheme="minorHAnsi"/>
        </w:rPr>
        <w:t>results.</w:t>
      </w:r>
    </w:p>
    <w:p w:rsidR="00282987" w:rsidRPr="00473C9A" w:rsidRDefault="00282987" w:rsidP="00473C9A">
      <w:pPr>
        <w:pStyle w:val="ListParagraph"/>
        <w:numPr>
          <w:ilvl w:val="0"/>
          <w:numId w:val="3"/>
        </w:numPr>
        <w:autoSpaceDE w:val="0"/>
        <w:autoSpaceDN w:val="0"/>
        <w:adjustRightInd w:val="0"/>
        <w:spacing w:after="0" w:line="240" w:lineRule="auto"/>
        <w:rPr>
          <w:rFonts w:cstheme="minorHAnsi"/>
        </w:rPr>
      </w:pPr>
      <w:r w:rsidRPr="00473C9A">
        <w:rPr>
          <w:rFonts w:cstheme="minorHAnsi"/>
          <w:b/>
          <w:bCs/>
        </w:rPr>
        <w:t>A copy of product</w:t>
      </w:r>
      <w:r w:rsidRPr="00473C9A">
        <w:rPr>
          <w:rFonts w:cstheme="minorHAnsi"/>
        </w:rPr>
        <w:t>, both hardware and software to allow an evaluator to understand</w:t>
      </w:r>
      <w:r w:rsidR="00473C9A">
        <w:rPr>
          <w:rFonts w:cstheme="minorHAnsi"/>
        </w:rPr>
        <w:t xml:space="preserve"> </w:t>
      </w:r>
      <w:r w:rsidRPr="00473C9A">
        <w:rPr>
          <w:rFonts w:cstheme="minorHAnsi"/>
        </w:rPr>
        <w:t>product documentation.</w:t>
      </w:r>
    </w:p>
    <w:p w:rsidR="00282987" w:rsidRPr="00880396" w:rsidRDefault="00282987">
      <w:pPr>
        <w:rPr>
          <w:rFonts w:cstheme="minorHAnsi"/>
        </w:rPr>
      </w:pPr>
      <w:r w:rsidRPr="00880396">
        <w:rPr>
          <w:rFonts w:cstheme="minorHAnsi"/>
        </w:rPr>
        <w:br w:type="page"/>
      </w:r>
    </w:p>
    <w:p w:rsidR="00282987" w:rsidRPr="00880396" w:rsidRDefault="00473C9A" w:rsidP="00282987">
      <w:pPr>
        <w:autoSpaceDE w:val="0"/>
        <w:autoSpaceDN w:val="0"/>
        <w:adjustRightInd w:val="0"/>
        <w:spacing w:after="0" w:line="240" w:lineRule="auto"/>
        <w:rPr>
          <w:rFonts w:cstheme="minorHAnsi"/>
          <w:b/>
          <w:bCs/>
        </w:rPr>
      </w:pPr>
      <w:r>
        <w:rPr>
          <w:rFonts w:cstheme="minorHAnsi"/>
          <w:b/>
          <w:bCs/>
        </w:rPr>
        <w:lastRenderedPageBreak/>
        <w:t>Contractor</w:t>
      </w:r>
    </w:p>
    <w:p w:rsidR="00282987" w:rsidRPr="00473C9A" w:rsidRDefault="00282987" w:rsidP="00473C9A">
      <w:pPr>
        <w:pStyle w:val="ListParagraph"/>
        <w:numPr>
          <w:ilvl w:val="0"/>
          <w:numId w:val="3"/>
        </w:numPr>
        <w:autoSpaceDE w:val="0"/>
        <w:autoSpaceDN w:val="0"/>
        <w:adjustRightInd w:val="0"/>
        <w:spacing w:after="0" w:line="240" w:lineRule="auto"/>
        <w:rPr>
          <w:rFonts w:cstheme="minorHAnsi"/>
        </w:rPr>
      </w:pPr>
      <w:r w:rsidRPr="00473C9A">
        <w:rPr>
          <w:rFonts w:cstheme="minorHAnsi"/>
          <w:b/>
          <w:bCs/>
        </w:rPr>
        <w:t xml:space="preserve">Security Target Evaluation Report </w:t>
      </w:r>
      <w:r w:rsidRPr="00473C9A">
        <w:rPr>
          <w:rFonts w:cstheme="minorHAnsi"/>
        </w:rPr>
        <w:t>to NIAP.</w:t>
      </w:r>
    </w:p>
    <w:p w:rsidR="00282987" w:rsidRPr="00473C9A" w:rsidRDefault="00282987" w:rsidP="00473C9A">
      <w:pPr>
        <w:pStyle w:val="ListParagraph"/>
        <w:numPr>
          <w:ilvl w:val="0"/>
          <w:numId w:val="4"/>
        </w:numPr>
        <w:autoSpaceDE w:val="0"/>
        <w:autoSpaceDN w:val="0"/>
        <w:adjustRightInd w:val="0"/>
        <w:spacing w:after="0" w:line="240" w:lineRule="auto"/>
        <w:rPr>
          <w:rFonts w:cstheme="minorHAnsi"/>
        </w:rPr>
      </w:pPr>
      <w:r w:rsidRPr="00473C9A">
        <w:rPr>
          <w:rFonts w:cstheme="minorHAnsi"/>
          <w:b/>
          <w:bCs/>
        </w:rPr>
        <w:t xml:space="preserve">Comments and deficiency reports </w:t>
      </w:r>
      <w:r w:rsidRPr="00473C9A">
        <w:rPr>
          <w:rFonts w:cstheme="minorHAnsi"/>
        </w:rPr>
        <w:t>on the Security Target, Configuration</w:t>
      </w:r>
      <w:r w:rsidR="00473C9A" w:rsidRPr="00473C9A">
        <w:rPr>
          <w:rFonts w:cstheme="minorHAnsi"/>
        </w:rPr>
        <w:t xml:space="preserve"> </w:t>
      </w:r>
      <w:r w:rsidRPr="00473C9A">
        <w:rPr>
          <w:rFonts w:cstheme="minorHAnsi"/>
        </w:rPr>
        <w:t>Management, Functional Specification, TOE Design Specification, Administrator and</w:t>
      </w:r>
      <w:r w:rsidR="00473C9A">
        <w:rPr>
          <w:rFonts w:cstheme="minorHAnsi"/>
        </w:rPr>
        <w:t xml:space="preserve"> </w:t>
      </w:r>
      <w:r w:rsidRPr="00473C9A">
        <w:rPr>
          <w:rFonts w:cstheme="minorHAnsi"/>
        </w:rPr>
        <w:t>User Guides, Life Cycle Definition, and Test Documentation.</w:t>
      </w:r>
    </w:p>
    <w:p w:rsidR="00282987" w:rsidRPr="00473C9A" w:rsidRDefault="00282987" w:rsidP="00473C9A">
      <w:pPr>
        <w:pStyle w:val="ListParagraph"/>
        <w:numPr>
          <w:ilvl w:val="0"/>
          <w:numId w:val="4"/>
        </w:numPr>
        <w:autoSpaceDE w:val="0"/>
        <w:autoSpaceDN w:val="0"/>
        <w:adjustRightInd w:val="0"/>
        <w:spacing w:after="0" w:line="240" w:lineRule="auto"/>
        <w:rPr>
          <w:rFonts w:cstheme="minorHAnsi"/>
        </w:rPr>
      </w:pPr>
      <w:r w:rsidRPr="00473C9A">
        <w:rPr>
          <w:rFonts w:cstheme="minorHAnsi"/>
          <w:b/>
          <w:bCs/>
        </w:rPr>
        <w:t xml:space="preserve">Test Plan </w:t>
      </w:r>
      <w:r w:rsidRPr="00473C9A">
        <w:rPr>
          <w:rFonts w:cstheme="minorHAnsi"/>
        </w:rPr>
        <w:t>to NIAP</w:t>
      </w:r>
    </w:p>
    <w:p w:rsidR="00282987" w:rsidRPr="00473C9A" w:rsidRDefault="00282987" w:rsidP="00473C9A">
      <w:pPr>
        <w:pStyle w:val="ListParagraph"/>
        <w:numPr>
          <w:ilvl w:val="0"/>
          <w:numId w:val="4"/>
        </w:numPr>
        <w:autoSpaceDE w:val="0"/>
        <w:autoSpaceDN w:val="0"/>
        <w:adjustRightInd w:val="0"/>
        <w:spacing w:after="0" w:line="240" w:lineRule="auto"/>
        <w:rPr>
          <w:rFonts w:cstheme="minorHAnsi"/>
        </w:rPr>
      </w:pPr>
      <w:r w:rsidRPr="00473C9A">
        <w:rPr>
          <w:rFonts w:cstheme="minorHAnsi"/>
          <w:b/>
          <w:bCs/>
        </w:rPr>
        <w:t xml:space="preserve">Evaluation Technical Report </w:t>
      </w:r>
      <w:r w:rsidRPr="00473C9A">
        <w:rPr>
          <w:rFonts w:cstheme="minorHAnsi"/>
        </w:rPr>
        <w:t>to NIAP</w:t>
      </w:r>
    </w:p>
    <w:p w:rsidR="00282987" w:rsidRPr="00473C9A" w:rsidRDefault="00282987" w:rsidP="00282987">
      <w:pPr>
        <w:autoSpaceDE w:val="0"/>
        <w:autoSpaceDN w:val="0"/>
        <w:adjustRightInd w:val="0"/>
        <w:spacing w:after="0" w:line="240" w:lineRule="auto"/>
        <w:rPr>
          <w:rFonts w:asciiTheme="majorHAnsi" w:hAnsiTheme="majorHAnsi" w:cstheme="minorHAnsi"/>
          <w:b/>
          <w:bCs/>
        </w:rPr>
      </w:pPr>
      <w:r w:rsidRPr="00473C9A">
        <w:rPr>
          <w:rFonts w:asciiTheme="majorHAnsi" w:hAnsiTheme="majorHAnsi" w:cstheme="minorHAnsi"/>
          <w:b/>
          <w:bCs/>
        </w:rPr>
        <w:t>Cost Estimate</w:t>
      </w:r>
    </w:p>
    <w:p w:rsidR="00282987" w:rsidRPr="00880396" w:rsidRDefault="00282987" w:rsidP="00282987">
      <w:pPr>
        <w:autoSpaceDE w:val="0"/>
        <w:autoSpaceDN w:val="0"/>
        <w:adjustRightInd w:val="0"/>
        <w:spacing w:after="0" w:line="240" w:lineRule="auto"/>
        <w:rPr>
          <w:rFonts w:cstheme="minorHAnsi"/>
          <w:b/>
          <w:bCs/>
        </w:rPr>
      </w:pPr>
      <w:r w:rsidRPr="00880396">
        <w:rPr>
          <w:rFonts w:cstheme="minorHAnsi"/>
          <w:b/>
          <w:bCs/>
        </w:rPr>
        <w:t>Milestone Projected Completion Cost</w:t>
      </w:r>
    </w:p>
    <w:tbl>
      <w:tblPr>
        <w:tblW w:w="9105" w:type="dxa"/>
        <w:tblInd w:w="93" w:type="dxa"/>
        <w:tblLook w:val="04A0" w:firstRow="1" w:lastRow="0" w:firstColumn="1" w:lastColumn="0" w:noHBand="0" w:noVBand="1"/>
      </w:tblPr>
      <w:tblGrid>
        <w:gridCol w:w="4155"/>
        <w:gridCol w:w="1530"/>
        <w:gridCol w:w="1440"/>
        <w:gridCol w:w="1980"/>
      </w:tblGrid>
      <w:tr w:rsidR="003F6448" w:rsidRPr="003F6448" w:rsidTr="003F6448">
        <w:trPr>
          <w:trHeight w:val="300"/>
        </w:trPr>
        <w:tc>
          <w:tcPr>
            <w:tcW w:w="415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F6448" w:rsidRPr="003F6448" w:rsidRDefault="003F6448" w:rsidP="003F6448">
            <w:pPr>
              <w:spacing w:after="0" w:line="240" w:lineRule="auto"/>
              <w:jc w:val="center"/>
              <w:rPr>
                <w:rFonts w:ascii="Calibri" w:eastAsia="Times New Roman" w:hAnsi="Calibri" w:cs="Calibri"/>
                <w:b/>
                <w:bCs/>
                <w:color w:val="000000"/>
              </w:rPr>
            </w:pPr>
            <w:r w:rsidRPr="003F6448">
              <w:rPr>
                <w:rFonts w:ascii="Calibri" w:eastAsia="Times New Roman" w:hAnsi="Calibri" w:cs="Calibri"/>
                <w:b/>
                <w:bCs/>
                <w:color w:val="000000"/>
              </w:rPr>
              <w:t>Task</w:t>
            </w:r>
          </w:p>
        </w:tc>
        <w:tc>
          <w:tcPr>
            <w:tcW w:w="1530" w:type="dxa"/>
            <w:tcBorders>
              <w:top w:val="single" w:sz="4" w:space="0" w:color="auto"/>
              <w:left w:val="nil"/>
              <w:bottom w:val="single" w:sz="4" w:space="0" w:color="auto"/>
              <w:right w:val="single" w:sz="4" w:space="0" w:color="auto"/>
            </w:tcBorders>
            <w:shd w:val="clear" w:color="auto" w:fill="auto"/>
            <w:noWrap/>
            <w:vAlign w:val="bottom"/>
            <w:hideMark/>
          </w:tcPr>
          <w:p w:rsidR="003F6448" w:rsidRPr="003F6448" w:rsidRDefault="003F6448" w:rsidP="003F6448">
            <w:pPr>
              <w:spacing w:after="0" w:line="240" w:lineRule="auto"/>
              <w:jc w:val="center"/>
              <w:rPr>
                <w:rFonts w:ascii="Calibri" w:eastAsia="Times New Roman" w:hAnsi="Calibri" w:cs="Calibri"/>
                <w:b/>
                <w:bCs/>
                <w:color w:val="000000"/>
              </w:rPr>
            </w:pPr>
            <w:r w:rsidRPr="003F6448">
              <w:rPr>
                <w:rFonts w:ascii="Calibri" w:eastAsia="Times New Roman" w:hAnsi="Calibri" w:cs="Calibri"/>
                <w:b/>
                <w:bCs/>
                <w:color w:val="000000"/>
              </w:rPr>
              <w:t>Hours</w:t>
            </w:r>
          </w:p>
        </w:tc>
        <w:tc>
          <w:tcPr>
            <w:tcW w:w="1440" w:type="dxa"/>
            <w:tcBorders>
              <w:top w:val="single" w:sz="4" w:space="0" w:color="auto"/>
              <w:left w:val="nil"/>
              <w:bottom w:val="single" w:sz="4" w:space="0" w:color="auto"/>
              <w:right w:val="single" w:sz="4" w:space="0" w:color="auto"/>
            </w:tcBorders>
            <w:shd w:val="clear" w:color="auto" w:fill="auto"/>
            <w:noWrap/>
            <w:vAlign w:val="bottom"/>
            <w:hideMark/>
          </w:tcPr>
          <w:p w:rsidR="003F6448" w:rsidRDefault="003F6448" w:rsidP="003F6448">
            <w:pPr>
              <w:spacing w:after="0" w:line="240" w:lineRule="auto"/>
              <w:jc w:val="center"/>
              <w:rPr>
                <w:rFonts w:ascii="Calibri" w:eastAsia="Times New Roman" w:hAnsi="Calibri" w:cs="Calibri"/>
                <w:b/>
                <w:bCs/>
                <w:color w:val="000000"/>
              </w:rPr>
            </w:pPr>
            <w:r w:rsidRPr="003F6448">
              <w:rPr>
                <w:rFonts w:ascii="Calibri" w:eastAsia="Times New Roman" w:hAnsi="Calibri" w:cs="Calibri"/>
                <w:b/>
                <w:bCs/>
                <w:color w:val="000000"/>
              </w:rPr>
              <w:t>Duration</w:t>
            </w:r>
          </w:p>
          <w:p w:rsidR="003F6448" w:rsidRPr="003F6448" w:rsidRDefault="003F6448" w:rsidP="003F6448">
            <w:pPr>
              <w:spacing w:after="0" w:line="240" w:lineRule="auto"/>
              <w:jc w:val="center"/>
              <w:rPr>
                <w:rFonts w:ascii="Calibri" w:eastAsia="Times New Roman" w:hAnsi="Calibri" w:cs="Calibri"/>
                <w:b/>
                <w:bCs/>
                <w:color w:val="000000"/>
              </w:rPr>
            </w:pPr>
            <w:r w:rsidRPr="003F6448">
              <w:rPr>
                <w:rFonts w:ascii="Calibri" w:eastAsia="Times New Roman" w:hAnsi="Calibri" w:cs="Calibri"/>
                <w:b/>
                <w:bCs/>
                <w:color w:val="000000"/>
              </w:rPr>
              <w:t xml:space="preserve"> (in Weeks)</w:t>
            </w:r>
          </w:p>
        </w:tc>
        <w:tc>
          <w:tcPr>
            <w:tcW w:w="1980" w:type="dxa"/>
            <w:tcBorders>
              <w:top w:val="single" w:sz="4" w:space="0" w:color="auto"/>
              <w:left w:val="nil"/>
              <w:bottom w:val="single" w:sz="4" w:space="0" w:color="auto"/>
              <w:right w:val="single" w:sz="4" w:space="0" w:color="auto"/>
            </w:tcBorders>
            <w:shd w:val="clear" w:color="auto" w:fill="auto"/>
            <w:noWrap/>
            <w:vAlign w:val="bottom"/>
            <w:hideMark/>
          </w:tcPr>
          <w:p w:rsidR="003F6448" w:rsidRPr="003F6448" w:rsidRDefault="003F6448" w:rsidP="003F6448">
            <w:pPr>
              <w:spacing w:after="0" w:line="240" w:lineRule="auto"/>
              <w:jc w:val="center"/>
              <w:rPr>
                <w:rFonts w:ascii="Calibri" w:eastAsia="Times New Roman" w:hAnsi="Calibri" w:cs="Calibri"/>
                <w:b/>
                <w:bCs/>
                <w:color w:val="000000"/>
              </w:rPr>
            </w:pPr>
            <w:r w:rsidRPr="003F6448">
              <w:rPr>
                <w:rFonts w:ascii="Calibri" w:eastAsia="Times New Roman" w:hAnsi="Calibri" w:cs="Calibri"/>
                <w:b/>
                <w:bCs/>
                <w:color w:val="000000"/>
              </w:rPr>
              <w:t>Cost</w:t>
            </w:r>
          </w:p>
        </w:tc>
      </w:tr>
      <w:tr w:rsidR="003F6448" w:rsidRPr="003F6448" w:rsidTr="003F6448">
        <w:trPr>
          <w:trHeight w:val="300"/>
        </w:trPr>
        <w:tc>
          <w:tcPr>
            <w:tcW w:w="4155" w:type="dxa"/>
            <w:tcBorders>
              <w:top w:val="nil"/>
              <w:left w:val="single" w:sz="4" w:space="0" w:color="auto"/>
              <w:bottom w:val="single" w:sz="4" w:space="0" w:color="auto"/>
              <w:right w:val="single" w:sz="4" w:space="0" w:color="auto"/>
            </w:tcBorders>
            <w:shd w:val="clear" w:color="auto" w:fill="auto"/>
            <w:noWrap/>
            <w:vAlign w:val="center"/>
            <w:hideMark/>
          </w:tcPr>
          <w:p w:rsidR="003F6448" w:rsidRPr="003F6448" w:rsidRDefault="003F6448" w:rsidP="003F6448">
            <w:pPr>
              <w:spacing w:after="0" w:line="240" w:lineRule="auto"/>
              <w:jc w:val="right"/>
              <w:rPr>
                <w:rFonts w:ascii="Calibri" w:eastAsia="Times New Roman" w:hAnsi="Calibri" w:cs="Calibri"/>
                <w:color w:val="000000"/>
              </w:rPr>
            </w:pPr>
            <w:r w:rsidRPr="003F6448">
              <w:rPr>
                <w:rFonts w:ascii="Calibri" w:eastAsia="Times New Roman" w:hAnsi="Calibri" w:cs="Calibri"/>
                <w:color w:val="000000"/>
              </w:rPr>
              <w:t>Initial Security Target Evaluation</w:t>
            </w:r>
          </w:p>
        </w:tc>
        <w:tc>
          <w:tcPr>
            <w:tcW w:w="1530" w:type="dxa"/>
            <w:tcBorders>
              <w:top w:val="nil"/>
              <w:left w:val="nil"/>
              <w:bottom w:val="single" w:sz="4" w:space="0" w:color="auto"/>
              <w:right w:val="single" w:sz="4" w:space="0" w:color="auto"/>
            </w:tcBorders>
            <w:shd w:val="clear" w:color="auto" w:fill="auto"/>
            <w:noWrap/>
            <w:vAlign w:val="bottom"/>
            <w:hideMark/>
          </w:tcPr>
          <w:p w:rsidR="003F6448" w:rsidRPr="003F6448" w:rsidRDefault="003F6448" w:rsidP="003F6448">
            <w:pPr>
              <w:spacing w:after="0" w:line="240" w:lineRule="auto"/>
              <w:rPr>
                <w:rFonts w:ascii="Calibri" w:eastAsia="Times New Roman" w:hAnsi="Calibri" w:cs="Calibri"/>
                <w:color w:val="000000"/>
              </w:rPr>
            </w:pPr>
            <w:r w:rsidRPr="003F6448">
              <w:rPr>
                <w:rFonts w:ascii="Calibri" w:eastAsia="Times New Roman" w:hAnsi="Calibri" w:cs="Calibri"/>
                <w:color w:val="000000"/>
              </w:rPr>
              <w:t> </w:t>
            </w:r>
          </w:p>
        </w:tc>
        <w:tc>
          <w:tcPr>
            <w:tcW w:w="1440" w:type="dxa"/>
            <w:tcBorders>
              <w:top w:val="nil"/>
              <w:left w:val="nil"/>
              <w:bottom w:val="single" w:sz="4" w:space="0" w:color="auto"/>
              <w:right w:val="single" w:sz="4" w:space="0" w:color="auto"/>
            </w:tcBorders>
            <w:shd w:val="clear" w:color="auto" w:fill="auto"/>
            <w:noWrap/>
            <w:vAlign w:val="bottom"/>
            <w:hideMark/>
          </w:tcPr>
          <w:p w:rsidR="003F6448" w:rsidRPr="003F6448" w:rsidRDefault="003F6448" w:rsidP="003F6448">
            <w:pPr>
              <w:spacing w:after="0" w:line="240" w:lineRule="auto"/>
              <w:rPr>
                <w:rFonts w:ascii="Calibri" w:eastAsia="Times New Roman" w:hAnsi="Calibri" w:cs="Calibri"/>
                <w:color w:val="000000"/>
              </w:rPr>
            </w:pPr>
            <w:r w:rsidRPr="003F6448">
              <w:rPr>
                <w:rFonts w:ascii="Calibri" w:eastAsia="Times New Roman" w:hAnsi="Calibri" w:cs="Calibri"/>
                <w:color w:val="000000"/>
              </w:rPr>
              <w:t> </w:t>
            </w:r>
          </w:p>
        </w:tc>
        <w:tc>
          <w:tcPr>
            <w:tcW w:w="1980" w:type="dxa"/>
            <w:tcBorders>
              <w:top w:val="nil"/>
              <w:left w:val="nil"/>
              <w:bottom w:val="single" w:sz="4" w:space="0" w:color="auto"/>
              <w:right w:val="single" w:sz="4" w:space="0" w:color="auto"/>
            </w:tcBorders>
            <w:shd w:val="clear" w:color="auto" w:fill="auto"/>
            <w:noWrap/>
            <w:vAlign w:val="bottom"/>
            <w:hideMark/>
          </w:tcPr>
          <w:p w:rsidR="003F6448" w:rsidRPr="003F6448" w:rsidRDefault="003F6448" w:rsidP="003F6448">
            <w:pPr>
              <w:spacing w:after="0" w:line="240" w:lineRule="auto"/>
              <w:rPr>
                <w:rFonts w:ascii="Calibri" w:eastAsia="Times New Roman" w:hAnsi="Calibri" w:cs="Calibri"/>
                <w:color w:val="000000"/>
              </w:rPr>
            </w:pPr>
            <w:r w:rsidRPr="003F6448">
              <w:rPr>
                <w:rFonts w:ascii="Calibri" w:eastAsia="Times New Roman" w:hAnsi="Calibri" w:cs="Calibri"/>
                <w:color w:val="000000"/>
              </w:rPr>
              <w:t> </w:t>
            </w:r>
          </w:p>
        </w:tc>
      </w:tr>
      <w:tr w:rsidR="003F6448" w:rsidRPr="003F6448" w:rsidTr="003F6448">
        <w:trPr>
          <w:trHeight w:val="300"/>
        </w:trPr>
        <w:tc>
          <w:tcPr>
            <w:tcW w:w="4155" w:type="dxa"/>
            <w:tcBorders>
              <w:top w:val="nil"/>
              <w:left w:val="single" w:sz="4" w:space="0" w:color="auto"/>
              <w:bottom w:val="single" w:sz="4" w:space="0" w:color="auto"/>
              <w:right w:val="single" w:sz="4" w:space="0" w:color="auto"/>
            </w:tcBorders>
            <w:shd w:val="clear" w:color="auto" w:fill="auto"/>
            <w:noWrap/>
            <w:vAlign w:val="center"/>
            <w:hideMark/>
          </w:tcPr>
          <w:p w:rsidR="003F6448" w:rsidRPr="003F6448" w:rsidRDefault="003F6448" w:rsidP="003F6448">
            <w:pPr>
              <w:spacing w:after="0" w:line="240" w:lineRule="auto"/>
              <w:jc w:val="right"/>
              <w:rPr>
                <w:rFonts w:ascii="Calibri" w:eastAsia="Times New Roman" w:hAnsi="Calibri" w:cs="Calibri"/>
                <w:color w:val="000000"/>
              </w:rPr>
            </w:pPr>
            <w:r w:rsidRPr="003F6448">
              <w:rPr>
                <w:rFonts w:ascii="Calibri" w:eastAsia="Times New Roman" w:hAnsi="Calibri" w:cs="Calibri"/>
                <w:color w:val="000000"/>
              </w:rPr>
              <w:t>Initial VOR Read Ahead Package Submitted</w:t>
            </w:r>
          </w:p>
        </w:tc>
        <w:tc>
          <w:tcPr>
            <w:tcW w:w="1530" w:type="dxa"/>
            <w:tcBorders>
              <w:top w:val="nil"/>
              <w:left w:val="nil"/>
              <w:bottom w:val="single" w:sz="4" w:space="0" w:color="auto"/>
              <w:right w:val="single" w:sz="4" w:space="0" w:color="auto"/>
            </w:tcBorders>
            <w:shd w:val="clear" w:color="auto" w:fill="auto"/>
            <w:noWrap/>
            <w:vAlign w:val="bottom"/>
            <w:hideMark/>
          </w:tcPr>
          <w:p w:rsidR="003F6448" w:rsidRPr="003F6448" w:rsidRDefault="003F6448" w:rsidP="003F6448">
            <w:pPr>
              <w:spacing w:after="0" w:line="240" w:lineRule="auto"/>
              <w:rPr>
                <w:rFonts w:ascii="Calibri" w:eastAsia="Times New Roman" w:hAnsi="Calibri" w:cs="Calibri"/>
                <w:color w:val="000000"/>
              </w:rPr>
            </w:pPr>
            <w:r w:rsidRPr="003F6448">
              <w:rPr>
                <w:rFonts w:ascii="Calibri" w:eastAsia="Times New Roman" w:hAnsi="Calibri" w:cs="Calibri"/>
                <w:color w:val="000000"/>
              </w:rPr>
              <w:t> </w:t>
            </w:r>
          </w:p>
        </w:tc>
        <w:tc>
          <w:tcPr>
            <w:tcW w:w="1440" w:type="dxa"/>
            <w:tcBorders>
              <w:top w:val="nil"/>
              <w:left w:val="nil"/>
              <w:bottom w:val="single" w:sz="4" w:space="0" w:color="auto"/>
              <w:right w:val="single" w:sz="4" w:space="0" w:color="auto"/>
            </w:tcBorders>
            <w:shd w:val="clear" w:color="auto" w:fill="auto"/>
            <w:noWrap/>
            <w:vAlign w:val="bottom"/>
            <w:hideMark/>
          </w:tcPr>
          <w:p w:rsidR="003F6448" w:rsidRPr="003F6448" w:rsidRDefault="003F6448" w:rsidP="003F6448">
            <w:pPr>
              <w:spacing w:after="0" w:line="240" w:lineRule="auto"/>
              <w:rPr>
                <w:rFonts w:ascii="Calibri" w:eastAsia="Times New Roman" w:hAnsi="Calibri" w:cs="Calibri"/>
                <w:color w:val="000000"/>
              </w:rPr>
            </w:pPr>
            <w:r w:rsidRPr="003F6448">
              <w:rPr>
                <w:rFonts w:ascii="Calibri" w:eastAsia="Times New Roman" w:hAnsi="Calibri" w:cs="Calibri"/>
                <w:color w:val="000000"/>
              </w:rPr>
              <w:t> </w:t>
            </w:r>
          </w:p>
        </w:tc>
        <w:tc>
          <w:tcPr>
            <w:tcW w:w="1980" w:type="dxa"/>
            <w:tcBorders>
              <w:top w:val="nil"/>
              <w:left w:val="nil"/>
              <w:bottom w:val="single" w:sz="4" w:space="0" w:color="auto"/>
              <w:right w:val="single" w:sz="4" w:space="0" w:color="auto"/>
            </w:tcBorders>
            <w:shd w:val="clear" w:color="auto" w:fill="auto"/>
            <w:noWrap/>
            <w:vAlign w:val="bottom"/>
            <w:hideMark/>
          </w:tcPr>
          <w:p w:rsidR="003F6448" w:rsidRPr="003F6448" w:rsidRDefault="003F6448" w:rsidP="003F6448">
            <w:pPr>
              <w:spacing w:after="0" w:line="240" w:lineRule="auto"/>
              <w:rPr>
                <w:rFonts w:ascii="Calibri" w:eastAsia="Times New Roman" w:hAnsi="Calibri" w:cs="Calibri"/>
                <w:color w:val="000000"/>
              </w:rPr>
            </w:pPr>
            <w:r w:rsidRPr="003F6448">
              <w:rPr>
                <w:rFonts w:ascii="Calibri" w:eastAsia="Times New Roman" w:hAnsi="Calibri" w:cs="Calibri"/>
                <w:color w:val="000000"/>
              </w:rPr>
              <w:t> </w:t>
            </w:r>
          </w:p>
        </w:tc>
      </w:tr>
      <w:tr w:rsidR="003F6448" w:rsidRPr="003F6448" w:rsidTr="003F6448">
        <w:trPr>
          <w:trHeight w:val="300"/>
        </w:trPr>
        <w:tc>
          <w:tcPr>
            <w:tcW w:w="4155" w:type="dxa"/>
            <w:tcBorders>
              <w:top w:val="nil"/>
              <w:left w:val="single" w:sz="4" w:space="0" w:color="auto"/>
              <w:bottom w:val="single" w:sz="4" w:space="0" w:color="auto"/>
              <w:right w:val="single" w:sz="4" w:space="0" w:color="auto"/>
            </w:tcBorders>
            <w:shd w:val="clear" w:color="auto" w:fill="auto"/>
            <w:noWrap/>
            <w:vAlign w:val="center"/>
            <w:hideMark/>
          </w:tcPr>
          <w:p w:rsidR="003F6448" w:rsidRPr="003F6448" w:rsidRDefault="003F6448" w:rsidP="003F6448">
            <w:pPr>
              <w:spacing w:after="0" w:line="240" w:lineRule="auto"/>
              <w:jc w:val="right"/>
              <w:rPr>
                <w:rFonts w:ascii="Calibri" w:eastAsia="Times New Roman" w:hAnsi="Calibri" w:cs="Calibri"/>
                <w:color w:val="000000"/>
              </w:rPr>
            </w:pPr>
            <w:r w:rsidRPr="003F6448">
              <w:rPr>
                <w:rFonts w:ascii="Calibri" w:eastAsia="Times New Roman" w:hAnsi="Calibri" w:cs="Calibri"/>
                <w:color w:val="000000"/>
              </w:rPr>
              <w:t>Configuration Management Initial Review</w:t>
            </w:r>
          </w:p>
        </w:tc>
        <w:tc>
          <w:tcPr>
            <w:tcW w:w="1530" w:type="dxa"/>
            <w:tcBorders>
              <w:top w:val="nil"/>
              <w:left w:val="nil"/>
              <w:bottom w:val="single" w:sz="4" w:space="0" w:color="auto"/>
              <w:right w:val="single" w:sz="4" w:space="0" w:color="auto"/>
            </w:tcBorders>
            <w:shd w:val="clear" w:color="auto" w:fill="auto"/>
            <w:noWrap/>
            <w:vAlign w:val="bottom"/>
            <w:hideMark/>
          </w:tcPr>
          <w:p w:rsidR="003F6448" w:rsidRPr="003F6448" w:rsidRDefault="003F6448" w:rsidP="003F6448">
            <w:pPr>
              <w:spacing w:after="0" w:line="240" w:lineRule="auto"/>
              <w:rPr>
                <w:rFonts w:ascii="Calibri" w:eastAsia="Times New Roman" w:hAnsi="Calibri" w:cs="Calibri"/>
                <w:color w:val="000000"/>
              </w:rPr>
            </w:pPr>
            <w:r w:rsidRPr="003F6448">
              <w:rPr>
                <w:rFonts w:ascii="Calibri" w:eastAsia="Times New Roman" w:hAnsi="Calibri" w:cs="Calibri"/>
                <w:color w:val="000000"/>
              </w:rPr>
              <w:t> </w:t>
            </w:r>
          </w:p>
        </w:tc>
        <w:tc>
          <w:tcPr>
            <w:tcW w:w="1440" w:type="dxa"/>
            <w:tcBorders>
              <w:top w:val="nil"/>
              <w:left w:val="nil"/>
              <w:bottom w:val="single" w:sz="4" w:space="0" w:color="auto"/>
              <w:right w:val="single" w:sz="4" w:space="0" w:color="auto"/>
            </w:tcBorders>
            <w:shd w:val="clear" w:color="auto" w:fill="auto"/>
            <w:noWrap/>
            <w:vAlign w:val="bottom"/>
            <w:hideMark/>
          </w:tcPr>
          <w:p w:rsidR="003F6448" w:rsidRPr="003F6448" w:rsidRDefault="003F6448" w:rsidP="003F6448">
            <w:pPr>
              <w:spacing w:after="0" w:line="240" w:lineRule="auto"/>
              <w:rPr>
                <w:rFonts w:ascii="Calibri" w:eastAsia="Times New Roman" w:hAnsi="Calibri" w:cs="Calibri"/>
                <w:color w:val="000000"/>
              </w:rPr>
            </w:pPr>
            <w:r w:rsidRPr="003F6448">
              <w:rPr>
                <w:rFonts w:ascii="Calibri" w:eastAsia="Times New Roman" w:hAnsi="Calibri" w:cs="Calibri"/>
                <w:color w:val="000000"/>
              </w:rPr>
              <w:t> </w:t>
            </w:r>
          </w:p>
        </w:tc>
        <w:tc>
          <w:tcPr>
            <w:tcW w:w="1980" w:type="dxa"/>
            <w:tcBorders>
              <w:top w:val="nil"/>
              <w:left w:val="nil"/>
              <w:bottom w:val="single" w:sz="4" w:space="0" w:color="auto"/>
              <w:right w:val="single" w:sz="4" w:space="0" w:color="auto"/>
            </w:tcBorders>
            <w:shd w:val="clear" w:color="auto" w:fill="auto"/>
            <w:noWrap/>
            <w:vAlign w:val="bottom"/>
            <w:hideMark/>
          </w:tcPr>
          <w:p w:rsidR="003F6448" w:rsidRPr="003F6448" w:rsidRDefault="003F6448" w:rsidP="003F6448">
            <w:pPr>
              <w:spacing w:after="0" w:line="240" w:lineRule="auto"/>
              <w:rPr>
                <w:rFonts w:ascii="Calibri" w:eastAsia="Times New Roman" w:hAnsi="Calibri" w:cs="Calibri"/>
                <w:color w:val="000000"/>
              </w:rPr>
            </w:pPr>
            <w:r w:rsidRPr="003F6448">
              <w:rPr>
                <w:rFonts w:ascii="Calibri" w:eastAsia="Times New Roman" w:hAnsi="Calibri" w:cs="Calibri"/>
                <w:color w:val="000000"/>
              </w:rPr>
              <w:t> </w:t>
            </w:r>
          </w:p>
        </w:tc>
      </w:tr>
      <w:tr w:rsidR="003F6448" w:rsidRPr="003F6448" w:rsidTr="003F6448">
        <w:trPr>
          <w:trHeight w:val="300"/>
        </w:trPr>
        <w:tc>
          <w:tcPr>
            <w:tcW w:w="4155" w:type="dxa"/>
            <w:tcBorders>
              <w:top w:val="nil"/>
              <w:left w:val="single" w:sz="4" w:space="0" w:color="auto"/>
              <w:bottom w:val="single" w:sz="4" w:space="0" w:color="auto"/>
              <w:right w:val="single" w:sz="4" w:space="0" w:color="auto"/>
            </w:tcBorders>
            <w:shd w:val="clear" w:color="auto" w:fill="auto"/>
            <w:noWrap/>
            <w:vAlign w:val="center"/>
            <w:hideMark/>
          </w:tcPr>
          <w:p w:rsidR="003F6448" w:rsidRPr="003F6448" w:rsidRDefault="003F6448" w:rsidP="003F6448">
            <w:pPr>
              <w:spacing w:after="0" w:line="240" w:lineRule="auto"/>
              <w:jc w:val="right"/>
              <w:rPr>
                <w:rFonts w:ascii="Calibri" w:eastAsia="Times New Roman" w:hAnsi="Calibri" w:cs="Calibri"/>
                <w:color w:val="000000"/>
              </w:rPr>
            </w:pPr>
            <w:r w:rsidRPr="003F6448">
              <w:rPr>
                <w:rFonts w:ascii="Calibri" w:eastAsia="Times New Roman" w:hAnsi="Calibri" w:cs="Calibri"/>
                <w:color w:val="000000"/>
              </w:rPr>
              <w:t>Functional Specification Initial Review</w:t>
            </w:r>
          </w:p>
        </w:tc>
        <w:tc>
          <w:tcPr>
            <w:tcW w:w="1530" w:type="dxa"/>
            <w:tcBorders>
              <w:top w:val="nil"/>
              <w:left w:val="nil"/>
              <w:bottom w:val="single" w:sz="4" w:space="0" w:color="auto"/>
              <w:right w:val="single" w:sz="4" w:space="0" w:color="auto"/>
            </w:tcBorders>
            <w:shd w:val="clear" w:color="auto" w:fill="auto"/>
            <w:noWrap/>
            <w:vAlign w:val="bottom"/>
            <w:hideMark/>
          </w:tcPr>
          <w:p w:rsidR="003F6448" w:rsidRPr="003F6448" w:rsidRDefault="003F6448" w:rsidP="003F6448">
            <w:pPr>
              <w:spacing w:after="0" w:line="240" w:lineRule="auto"/>
              <w:rPr>
                <w:rFonts w:ascii="Calibri" w:eastAsia="Times New Roman" w:hAnsi="Calibri" w:cs="Calibri"/>
                <w:color w:val="000000"/>
              </w:rPr>
            </w:pPr>
            <w:r w:rsidRPr="003F6448">
              <w:rPr>
                <w:rFonts w:ascii="Calibri" w:eastAsia="Times New Roman" w:hAnsi="Calibri" w:cs="Calibri"/>
                <w:color w:val="000000"/>
              </w:rPr>
              <w:t> </w:t>
            </w:r>
          </w:p>
        </w:tc>
        <w:tc>
          <w:tcPr>
            <w:tcW w:w="1440" w:type="dxa"/>
            <w:tcBorders>
              <w:top w:val="nil"/>
              <w:left w:val="nil"/>
              <w:bottom w:val="single" w:sz="4" w:space="0" w:color="auto"/>
              <w:right w:val="single" w:sz="4" w:space="0" w:color="auto"/>
            </w:tcBorders>
            <w:shd w:val="clear" w:color="auto" w:fill="auto"/>
            <w:noWrap/>
            <w:vAlign w:val="bottom"/>
            <w:hideMark/>
          </w:tcPr>
          <w:p w:rsidR="003F6448" w:rsidRPr="003F6448" w:rsidRDefault="003F6448" w:rsidP="003F6448">
            <w:pPr>
              <w:spacing w:after="0" w:line="240" w:lineRule="auto"/>
              <w:rPr>
                <w:rFonts w:ascii="Calibri" w:eastAsia="Times New Roman" w:hAnsi="Calibri" w:cs="Calibri"/>
                <w:color w:val="000000"/>
              </w:rPr>
            </w:pPr>
            <w:r w:rsidRPr="003F6448">
              <w:rPr>
                <w:rFonts w:ascii="Calibri" w:eastAsia="Times New Roman" w:hAnsi="Calibri" w:cs="Calibri"/>
                <w:color w:val="000000"/>
              </w:rPr>
              <w:t> </w:t>
            </w:r>
          </w:p>
        </w:tc>
        <w:tc>
          <w:tcPr>
            <w:tcW w:w="1980" w:type="dxa"/>
            <w:tcBorders>
              <w:top w:val="nil"/>
              <w:left w:val="nil"/>
              <w:bottom w:val="single" w:sz="4" w:space="0" w:color="auto"/>
              <w:right w:val="single" w:sz="4" w:space="0" w:color="auto"/>
            </w:tcBorders>
            <w:shd w:val="clear" w:color="auto" w:fill="auto"/>
            <w:noWrap/>
            <w:vAlign w:val="bottom"/>
            <w:hideMark/>
          </w:tcPr>
          <w:p w:rsidR="003F6448" w:rsidRPr="003F6448" w:rsidRDefault="003F6448" w:rsidP="003F6448">
            <w:pPr>
              <w:spacing w:after="0" w:line="240" w:lineRule="auto"/>
              <w:rPr>
                <w:rFonts w:ascii="Calibri" w:eastAsia="Times New Roman" w:hAnsi="Calibri" w:cs="Calibri"/>
                <w:color w:val="000000"/>
              </w:rPr>
            </w:pPr>
            <w:r w:rsidRPr="003F6448">
              <w:rPr>
                <w:rFonts w:ascii="Calibri" w:eastAsia="Times New Roman" w:hAnsi="Calibri" w:cs="Calibri"/>
                <w:color w:val="000000"/>
              </w:rPr>
              <w:t> </w:t>
            </w:r>
          </w:p>
        </w:tc>
      </w:tr>
      <w:tr w:rsidR="003F6448" w:rsidRPr="003F6448" w:rsidTr="003F6448">
        <w:trPr>
          <w:trHeight w:val="300"/>
        </w:trPr>
        <w:tc>
          <w:tcPr>
            <w:tcW w:w="4155" w:type="dxa"/>
            <w:tcBorders>
              <w:top w:val="nil"/>
              <w:left w:val="single" w:sz="4" w:space="0" w:color="auto"/>
              <w:bottom w:val="single" w:sz="4" w:space="0" w:color="auto"/>
              <w:right w:val="single" w:sz="4" w:space="0" w:color="auto"/>
            </w:tcBorders>
            <w:shd w:val="clear" w:color="auto" w:fill="auto"/>
            <w:noWrap/>
            <w:vAlign w:val="center"/>
            <w:hideMark/>
          </w:tcPr>
          <w:p w:rsidR="003F6448" w:rsidRPr="003F6448" w:rsidRDefault="003F6448" w:rsidP="003F6448">
            <w:pPr>
              <w:spacing w:after="0" w:line="240" w:lineRule="auto"/>
              <w:jc w:val="right"/>
              <w:rPr>
                <w:rFonts w:ascii="Calibri" w:eastAsia="Times New Roman" w:hAnsi="Calibri" w:cs="Calibri"/>
                <w:color w:val="000000"/>
              </w:rPr>
            </w:pPr>
            <w:r w:rsidRPr="003F6448">
              <w:rPr>
                <w:rFonts w:ascii="Calibri" w:eastAsia="Times New Roman" w:hAnsi="Calibri" w:cs="Calibri"/>
                <w:color w:val="000000"/>
              </w:rPr>
              <w:t>TOE Design Specification Initial Review</w:t>
            </w:r>
          </w:p>
        </w:tc>
        <w:tc>
          <w:tcPr>
            <w:tcW w:w="1530" w:type="dxa"/>
            <w:tcBorders>
              <w:top w:val="nil"/>
              <w:left w:val="nil"/>
              <w:bottom w:val="single" w:sz="4" w:space="0" w:color="auto"/>
              <w:right w:val="single" w:sz="4" w:space="0" w:color="auto"/>
            </w:tcBorders>
            <w:shd w:val="clear" w:color="auto" w:fill="auto"/>
            <w:noWrap/>
            <w:vAlign w:val="bottom"/>
            <w:hideMark/>
          </w:tcPr>
          <w:p w:rsidR="003F6448" w:rsidRPr="003F6448" w:rsidRDefault="003F6448" w:rsidP="003F6448">
            <w:pPr>
              <w:spacing w:after="0" w:line="240" w:lineRule="auto"/>
              <w:rPr>
                <w:rFonts w:ascii="Calibri" w:eastAsia="Times New Roman" w:hAnsi="Calibri" w:cs="Calibri"/>
                <w:b/>
                <w:bCs/>
                <w:color w:val="000000"/>
              </w:rPr>
            </w:pPr>
            <w:r w:rsidRPr="003F6448">
              <w:rPr>
                <w:rFonts w:ascii="Calibri" w:eastAsia="Times New Roman" w:hAnsi="Calibri" w:cs="Calibri"/>
                <w:b/>
                <w:bCs/>
                <w:color w:val="000000"/>
              </w:rPr>
              <w:t> </w:t>
            </w:r>
          </w:p>
        </w:tc>
        <w:tc>
          <w:tcPr>
            <w:tcW w:w="1440" w:type="dxa"/>
            <w:tcBorders>
              <w:top w:val="nil"/>
              <w:left w:val="nil"/>
              <w:bottom w:val="single" w:sz="4" w:space="0" w:color="auto"/>
              <w:right w:val="single" w:sz="4" w:space="0" w:color="auto"/>
            </w:tcBorders>
            <w:shd w:val="clear" w:color="auto" w:fill="auto"/>
            <w:noWrap/>
            <w:vAlign w:val="bottom"/>
            <w:hideMark/>
          </w:tcPr>
          <w:p w:rsidR="003F6448" w:rsidRPr="003F6448" w:rsidRDefault="003F6448" w:rsidP="003F6448">
            <w:pPr>
              <w:spacing w:after="0" w:line="240" w:lineRule="auto"/>
              <w:rPr>
                <w:rFonts w:ascii="Calibri" w:eastAsia="Times New Roman" w:hAnsi="Calibri" w:cs="Calibri"/>
                <w:b/>
                <w:bCs/>
                <w:color w:val="000000"/>
              </w:rPr>
            </w:pPr>
            <w:r w:rsidRPr="003F6448">
              <w:rPr>
                <w:rFonts w:ascii="Calibri" w:eastAsia="Times New Roman" w:hAnsi="Calibri" w:cs="Calibri"/>
                <w:b/>
                <w:bCs/>
                <w:color w:val="000000"/>
              </w:rPr>
              <w:t> </w:t>
            </w:r>
          </w:p>
        </w:tc>
        <w:tc>
          <w:tcPr>
            <w:tcW w:w="1980" w:type="dxa"/>
            <w:tcBorders>
              <w:top w:val="nil"/>
              <w:left w:val="nil"/>
              <w:bottom w:val="single" w:sz="4" w:space="0" w:color="auto"/>
              <w:right w:val="single" w:sz="4" w:space="0" w:color="auto"/>
            </w:tcBorders>
            <w:shd w:val="clear" w:color="auto" w:fill="auto"/>
            <w:noWrap/>
            <w:vAlign w:val="bottom"/>
            <w:hideMark/>
          </w:tcPr>
          <w:p w:rsidR="003F6448" w:rsidRPr="003F6448" w:rsidRDefault="003F6448" w:rsidP="003F6448">
            <w:pPr>
              <w:spacing w:after="0" w:line="240" w:lineRule="auto"/>
              <w:rPr>
                <w:rFonts w:ascii="Calibri" w:eastAsia="Times New Roman" w:hAnsi="Calibri" w:cs="Calibri"/>
                <w:color w:val="000000"/>
              </w:rPr>
            </w:pPr>
            <w:r w:rsidRPr="003F6448">
              <w:rPr>
                <w:rFonts w:ascii="Calibri" w:eastAsia="Times New Roman" w:hAnsi="Calibri" w:cs="Calibri"/>
                <w:color w:val="000000"/>
              </w:rPr>
              <w:t> </w:t>
            </w:r>
          </w:p>
        </w:tc>
      </w:tr>
      <w:tr w:rsidR="003F6448" w:rsidRPr="003F6448" w:rsidTr="003F6448">
        <w:trPr>
          <w:trHeight w:val="300"/>
        </w:trPr>
        <w:tc>
          <w:tcPr>
            <w:tcW w:w="4155" w:type="dxa"/>
            <w:tcBorders>
              <w:top w:val="nil"/>
              <w:left w:val="single" w:sz="4" w:space="0" w:color="auto"/>
              <w:bottom w:val="single" w:sz="4" w:space="0" w:color="auto"/>
              <w:right w:val="single" w:sz="4" w:space="0" w:color="auto"/>
            </w:tcBorders>
            <w:shd w:val="clear" w:color="auto" w:fill="auto"/>
            <w:noWrap/>
            <w:vAlign w:val="bottom"/>
            <w:hideMark/>
          </w:tcPr>
          <w:p w:rsidR="003F6448" w:rsidRPr="003F6448" w:rsidRDefault="003F6448" w:rsidP="003F6448">
            <w:pPr>
              <w:spacing w:after="0" w:line="240" w:lineRule="auto"/>
              <w:jc w:val="right"/>
              <w:rPr>
                <w:rFonts w:ascii="Calibri" w:eastAsia="Times New Roman" w:hAnsi="Calibri" w:cs="Calibri"/>
                <w:color w:val="000000"/>
              </w:rPr>
            </w:pPr>
            <w:r w:rsidRPr="003F6448">
              <w:rPr>
                <w:rFonts w:ascii="Calibri" w:eastAsia="Times New Roman" w:hAnsi="Calibri" w:cs="Calibri"/>
                <w:color w:val="000000"/>
              </w:rPr>
              <w:t>Guidance documents Initial Review</w:t>
            </w:r>
          </w:p>
        </w:tc>
        <w:tc>
          <w:tcPr>
            <w:tcW w:w="1530" w:type="dxa"/>
            <w:tcBorders>
              <w:top w:val="nil"/>
              <w:left w:val="nil"/>
              <w:bottom w:val="single" w:sz="4" w:space="0" w:color="auto"/>
              <w:right w:val="single" w:sz="4" w:space="0" w:color="auto"/>
            </w:tcBorders>
            <w:shd w:val="clear" w:color="auto" w:fill="auto"/>
            <w:noWrap/>
            <w:vAlign w:val="bottom"/>
            <w:hideMark/>
          </w:tcPr>
          <w:p w:rsidR="003F6448" w:rsidRPr="003F6448" w:rsidRDefault="003F6448" w:rsidP="003F6448">
            <w:pPr>
              <w:spacing w:after="0" w:line="240" w:lineRule="auto"/>
              <w:rPr>
                <w:rFonts w:ascii="Calibri" w:eastAsia="Times New Roman" w:hAnsi="Calibri" w:cs="Calibri"/>
                <w:color w:val="000000"/>
              </w:rPr>
            </w:pPr>
            <w:r w:rsidRPr="003F6448">
              <w:rPr>
                <w:rFonts w:ascii="Calibri" w:eastAsia="Times New Roman" w:hAnsi="Calibri" w:cs="Calibri"/>
                <w:color w:val="000000"/>
              </w:rPr>
              <w:t> </w:t>
            </w:r>
          </w:p>
        </w:tc>
        <w:tc>
          <w:tcPr>
            <w:tcW w:w="1440" w:type="dxa"/>
            <w:tcBorders>
              <w:top w:val="nil"/>
              <w:left w:val="nil"/>
              <w:bottom w:val="single" w:sz="4" w:space="0" w:color="auto"/>
              <w:right w:val="single" w:sz="4" w:space="0" w:color="auto"/>
            </w:tcBorders>
            <w:shd w:val="clear" w:color="auto" w:fill="auto"/>
            <w:noWrap/>
            <w:vAlign w:val="bottom"/>
            <w:hideMark/>
          </w:tcPr>
          <w:p w:rsidR="003F6448" w:rsidRPr="003F6448" w:rsidRDefault="003F6448" w:rsidP="003F6448">
            <w:pPr>
              <w:spacing w:after="0" w:line="240" w:lineRule="auto"/>
              <w:rPr>
                <w:rFonts w:ascii="Calibri" w:eastAsia="Times New Roman" w:hAnsi="Calibri" w:cs="Calibri"/>
                <w:color w:val="000000"/>
              </w:rPr>
            </w:pPr>
            <w:r w:rsidRPr="003F6448">
              <w:rPr>
                <w:rFonts w:ascii="Calibri" w:eastAsia="Times New Roman" w:hAnsi="Calibri" w:cs="Calibri"/>
                <w:color w:val="000000"/>
              </w:rPr>
              <w:t> </w:t>
            </w:r>
          </w:p>
        </w:tc>
        <w:tc>
          <w:tcPr>
            <w:tcW w:w="1980" w:type="dxa"/>
            <w:tcBorders>
              <w:top w:val="nil"/>
              <w:left w:val="nil"/>
              <w:bottom w:val="single" w:sz="4" w:space="0" w:color="auto"/>
              <w:right w:val="single" w:sz="4" w:space="0" w:color="auto"/>
            </w:tcBorders>
            <w:shd w:val="clear" w:color="auto" w:fill="auto"/>
            <w:noWrap/>
            <w:vAlign w:val="bottom"/>
            <w:hideMark/>
          </w:tcPr>
          <w:p w:rsidR="003F6448" w:rsidRPr="003F6448" w:rsidRDefault="003F6448" w:rsidP="003F6448">
            <w:pPr>
              <w:spacing w:after="0" w:line="240" w:lineRule="auto"/>
              <w:rPr>
                <w:rFonts w:ascii="Calibri" w:eastAsia="Times New Roman" w:hAnsi="Calibri" w:cs="Calibri"/>
                <w:color w:val="000000"/>
              </w:rPr>
            </w:pPr>
            <w:r w:rsidRPr="003F6448">
              <w:rPr>
                <w:rFonts w:ascii="Calibri" w:eastAsia="Times New Roman" w:hAnsi="Calibri" w:cs="Calibri"/>
                <w:color w:val="000000"/>
              </w:rPr>
              <w:t> </w:t>
            </w:r>
          </w:p>
        </w:tc>
      </w:tr>
      <w:tr w:rsidR="003F6448" w:rsidRPr="003F6448" w:rsidTr="003F6448">
        <w:trPr>
          <w:trHeight w:val="300"/>
        </w:trPr>
        <w:tc>
          <w:tcPr>
            <w:tcW w:w="4155" w:type="dxa"/>
            <w:tcBorders>
              <w:top w:val="nil"/>
              <w:left w:val="single" w:sz="4" w:space="0" w:color="auto"/>
              <w:bottom w:val="single" w:sz="4" w:space="0" w:color="auto"/>
              <w:right w:val="single" w:sz="4" w:space="0" w:color="auto"/>
            </w:tcBorders>
            <w:shd w:val="clear" w:color="auto" w:fill="auto"/>
            <w:noWrap/>
            <w:vAlign w:val="bottom"/>
            <w:hideMark/>
          </w:tcPr>
          <w:p w:rsidR="003F6448" w:rsidRPr="003F6448" w:rsidRDefault="003F6448" w:rsidP="003F6448">
            <w:pPr>
              <w:spacing w:after="0" w:line="240" w:lineRule="auto"/>
              <w:jc w:val="right"/>
              <w:rPr>
                <w:rFonts w:ascii="Calibri" w:eastAsia="Times New Roman" w:hAnsi="Calibri" w:cs="Calibri"/>
                <w:color w:val="000000"/>
              </w:rPr>
            </w:pPr>
            <w:r w:rsidRPr="003F6448">
              <w:rPr>
                <w:rFonts w:ascii="Calibri" w:eastAsia="Times New Roman" w:hAnsi="Calibri" w:cs="Calibri"/>
                <w:color w:val="000000"/>
              </w:rPr>
              <w:t>Security Architecture Initial Review</w:t>
            </w:r>
          </w:p>
        </w:tc>
        <w:tc>
          <w:tcPr>
            <w:tcW w:w="1530" w:type="dxa"/>
            <w:tcBorders>
              <w:top w:val="nil"/>
              <w:left w:val="nil"/>
              <w:bottom w:val="single" w:sz="4" w:space="0" w:color="auto"/>
              <w:right w:val="single" w:sz="4" w:space="0" w:color="auto"/>
            </w:tcBorders>
            <w:shd w:val="clear" w:color="auto" w:fill="auto"/>
            <w:noWrap/>
            <w:vAlign w:val="bottom"/>
            <w:hideMark/>
          </w:tcPr>
          <w:p w:rsidR="003F6448" w:rsidRPr="003F6448" w:rsidRDefault="003F6448" w:rsidP="003F6448">
            <w:pPr>
              <w:spacing w:after="0" w:line="240" w:lineRule="auto"/>
              <w:rPr>
                <w:rFonts w:ascii="Calibri" w:eastAsia="Times New Roman" w:hAnsi="Calibri" w:cs="Calibri"/>
                <w:color w:val="000000"/>
              </w:rPr>
            </w:pPr>
            <w:r w:rsidRPr="003F6448">
              <w:rPr>
                <w:rFonts w:ascii="Calibri" w:eastAsia="Times New Roman" w:hAnsi="Calibri" w:cs="Calibri"/>
                <w:color w:val="000000"/>
              </w:rPr>
              <w:t> </w:t>
            </w:r>
          </w:p>
        </w:tc>
        <w:tc>
          <w:tcPr>
            <w:tcW w:w="1440" w:type="dxa"/>
            <w:tcBorders>
              <w:top w:val="nil"/>
              <w:left w:val="nil"/>
              <w:bottom w:val="single" w:sz="4" w:space="0" w:color="auto"/>
              <w:right w:val="single" w:sz="4" w:space="0" w:color="auto"/>
            </w:tcBorders>
            <w:shd w:val="clear" w:color="auto" w:fill="auto"/>
            <w:noWrap/>
            <w:vAlign w:val="bottom"/>
            <w:hideMark/>
          </w:tcPr>
          <w:p w:rsidR="003F6448" w:rsidRPr="003F6448" w:rsidRDefault="003F6448" w:rsidP="003F6448">
            <w:pPr>
              <w:spacing w:after="0" w:line="240" w:lineRule="auto"/>
              <w:rPr>
                <w:rFonts w:ascii="Calibri" w:eastAsia="Times New Roman" w:hAnsi="Calibri" w:cs="Calibri"/>
                <w:color w:val="000000"/>
              </w:rPr>
            </w:pPr>
            <w:r w:rsidRPr="003F6448">
              <w:rPr>
                <w:rFonts w:ascii="Calibri" w:eastAsia="Times New Roman" w:hAnsi="Calibri" w:cs="Calibri"/>
                <w:color w:val="000000"/>
              </w:rPr>
              <w:t> </w:t>
            </w:r>
          </w:p>
        </w:tc>
        <w:tc>
          <w:tcPr>
            <w:tcW w:w="1980" w:type="dxa"/>
            <w:tcBorders>
              <w:top w:val="nil"/>
              <w:left w:val="nil"/>
              <w:bottom w:val="single" w:sz="4" w:space="0" w:color="auto"/>
              <w:right w:val="single" w:sz="4" w:space="0" w:color="auto"/>
            </w:tcBorders>
            <w:shd w:val="clear" w:color="auto" w:fill="auto"/>
            <w:noWrap/>
            <w:vAlign w:val="bottom"/>
            <w:hideMark/>
          </w:tcPr>
          <w:p w:rsidR="003F6448" w:rsidRPr="003F6448" w:rsidRDefault="003F6448" w:rsidP="003F6448">
            <w:pPr>
              <w:spacing w:after="0" w:line="240" w:lineRule="auto"/>
              <w:rPr>
                <w:rFonts w:ascii="Calibri" w:eastAsia="Times New Roman" w:hAnsi="Calibri" w:cs="Calibri"/>
                <w:color w:val="000000"/>
              </w:rPr>
            </w:pPr>
            <w:r w:rsidRPr="003F6448">
              <w:rPr>
                <w:rFonts w:ascii="Calibri" w:eastAsia="Times New Roman" w:hAnsi="Calibri" w:cs="Calibri"/>
                <w:color w:val="000000"/>
              </w:rPr>
              <w:t> </w:t>
            </w:r>
          </w:p>
        </w:tc>
      </w:tr>
      <w:tr w:rsidR="003F6448" w:rsidRPr="003F6448" w:rsidTr="003F6448">
        <w:trPr>
          <w:trHeight w:val="300"/>
        </w:trPr>
        <w:tc>
          <w:tcPr>
            <w:tcW w:w="4155" w:type="dxa"/>
            <w:tcBorders>
              <w:top w:val="nil"/>
              <w:left w:val="single" w:sz="4" w:space="0" w:color="auto"/>
              <w:bottom w:val="single" w:sz="4" w:space="0" w:color="auto"/>
              <w:right w:val="single" w:sz="4" w:space="0" w:color="auto"/>
            </w:tcBorders>
            <w:shd w:val="clear" w:color="auto" w:fill="auto"/>
            <w:noWrap/>
            <w:vAlign w:val="center"/>
            <w:hideMark/>
          </w:tcPr>
          <w:p w:rsidR="003F6448" w:rsidRPr="003F6448" w:rsidRDefault="003F6448" w:rsidP="003F6448">
            <w:pPr>
              <w:spacing w:after="0" w:line="240" w:lineRule="auto"/>
              <w:jc w:val="right"/>
              <w:rPr>
                <w:rFonts w:ascii="Calibri" w:eastAsia="Times New Roman" w:hAnsi="Calibri" w:cs="Calibri"/>
                <w:color w:val="000000"/>
              </w:rPr>
            </w:pPr>
            <w:r w:rsidRPr="003F6448">
              <w:rPr>
                <w:rFonts w:ascii="Calibri" w:eastAsia="Times New Roman" w:hAnsi="Calibri" w:cs="Calibri"/>
                <w:color w:val="000000"/>
              </w:rPr>
              <w:t>Testing documents Initial Review</w:t>
            </w:r>
          </w:p>
        </w:tc>
        <w:tc>
          <w:tcPr>
            <w:tcW w:w="1530" w:type="dxa"/>
            <w:tcBorders>
              <w:top w:val="nil"/>
              <w:left w:val="nil"/>
              <w:bottom w:val="single" w:sz="4" w:space="0" w:color="auto"/>
              <w:right w:val="single" w:sz="4" w:space="0" w:color="auto"/>
            </w:tcBorders>
            <w:shd w:val="clear" w:color="auto" w:fill="auto"/>
            <w:noWrap/>
            <w:vAlign w:val="bottom"/>
            <w:hideMark/>
          </w:tcPr>
          <w:p w:rsidR="003F6448" w:rsidRPr="003F6448" w:rsidRDefault="003F6448" w:rsidP="003F6448">
            <w:pPr>
              <w:spacing w:after="0" w:line="240" w:lineRule="auto"/>
              <w:rPr>
                <w:rFonts w:ascii="Calibri" w:eastAsia="Times New Roman" w:hAnsi="Calibri" w:cs="Calibri"/>
                <w:color w:val="000000"/>
              </w:rPr>
            </w:pPr>
            <w:r w:rsidRPr="003F6448">
              <w:rPr>
                <w:rFonts w:ascii="Calibri" w:eastAsia="Times New Roman" w:hAnsi="Calibri" w:cs="Calibri"/>
                <w:color w:val="000000"/>
              </w:rPr>
              <w:t> </w:t>
            </w:r>
          </w:p>
        </w:tc>
        <w:tc>
          <w:tcPr>
            <w:tcW w:w="1440" w:type="dxa"/>
            <w:tcBorders>
              <w:top w:val="nil"/>
              <w:left w:val="nil"/>
              <w:bottom w:val="single" w:sz="4" w:space="0" w:color="auto"/>
              <w:right w:val="single" w:sz="4" w:space="0" w:color="auto"/>
            </w:tcBorders>
            <w:shd w:val="clear" w:color="auto" w:fill="auto"/>
            <w:noWrap/>
            <w:vAlign w:val="bottom"/>
            <w:hideMark/>
          </w:tcPr>
          <w:p w:rsidR="003F6448" w:rsidRPr="003F6448" w:rsidRDefault="003F6448" w:rsidP="003F6448">
            <w:pPr>
              <w:spacing w:after="0" w:line="240" w:lineRule="auto"/>
              <w:rPr>
                <w:rFonts w:ascii="Calibri" w:eastAsia="Times New Roman" w:hAnsi="Calibri" w:cs="Calibri"/>
                <w:color w:val="000000"/>
              </w:rPr>
            </w:pPr>
            <w:r w:rsidRPr="003F6448">
              <w:rPr>
                <w:rFonts w:ascii="Calibri" w:eastAsia="Times New Roman" w:hAnsi="Calibri" w:cs="Calibri"/>
                <w:color w:val="000000"/>
              </w:rPr>
              <w:t> </w:t>
            </w:r>
          </w:p>
        </w:tc>
        <w:tc>
          <w:tcPr>
            <w:tcW w:w="1980" w:type="dxa"/>
            <w:tcBorders>
              <w:top w:val="nil"/>
              <w:left w:val="nil"/>
              <w:bottom w:val="single" w:sz="4" w:space="0" w:color="auto"/>
              <w:right w:val="single" w:sz="4" w:space="0" w:color="auto"/>
            </w:tcBorders>
            <w:shd w:val="clear" w:color="auto" w:fill="auto"/>
            <w:noWrap/>
            <w:vAlign w:val="bottom"/>
            <w:hideMark/>
          </w:tcPr>
          <w:p w:rsidR="003F6448" w:rsidRPr="003F6448" w:rsidRDefault="003F6448" w:rsidP="003F6448">
            <w:pPr>
              <w:spacing w:after="0" w:line="240" w:lineRule="auto"/>
              <w:rPr>
                <w:rFonts w:ascii="Calibri" w:eastAsia="Times New Roman" w:hAnsi="Calibri" w:cs="Calibri"/>
                <w:color w:val="000000"/>
              </w:rPr>
            </w:pPr>
            <w:r w:rsidRPr="003F6448">
              <w:rPr>
                <w:rFonts w:ascii="Calibri" w:eastAsia="Times New Roman" w:hAnsi="Calibri" w:cs="Calibri"/>
                <w:color w:val="000000"/>
              </w:rPr>
              <w:t> </w:t>
            </w:r>
          </w:p>
        </w:tc>
      </w:tr>
      <w:tr w:rsidR="003F6448" w:rsidRPr="003F6448" w:rsidTr="003F6448">
        <w:trPr>
          <w:trHeight w:val="300"/>
        </w:trPr>
        <w:tc>
          <w:tcPr>
            <w:tcW w:w="4155" w:type="dxa"/>
            <w:tcBorders>
              <w:top w:val="nil"/>
              <w:left w:val="single" w:sz="4" w:space="0" w:color="auto"/>
              <w:bottom w:val="single" w:sz="4" w:space="0" w:color="auto"/>
              <w:right w:val="single" w:sz="4" w:space="0" w:color="auto"/>
            </w:tcBorders>
            <w:shd w:val="clear" w:color="auto" w:fill="auto"/>
            <w:noWrap/>
            <w:vAlign w:val="center"/>
            <w:hideMark/>
          </w:tcPr>
          <w:p w:rsidR="003F6448" w:rsidRPr="003F6448" w:rsidRDefault="003F6448" w:rsidP="003F6448">
            <w:pPr>
              <w:spacing w:after="0" w:line="240" w:lineRule="auto"/>
              <w:jc w:val="right"/>
              <w:rPr>
                <w:rFonts w:ascii="Calibri" w:eastAsia="Times New Roman" w:hAnsi="Calibri" w:cs="Calibri"/>
                <w:color w:val="000000"/>
              </w:rPr>
            </w:pPr>
            <w:r w:rsidRPr="003F6448">
              <w:rPr>
                <w:rFonts w:ascii="Calibri" w:eastAsia="Times New Roman" w:hAnsi="Calibri" w:cs="Calibri"/>
                <w:color w:val="000000"/>
              </w:rPr>
              <w:t>Test VOR Read Ahead Package Submitted</w:t>
            </w:r>
          </w:p>
        </w:tc>
        <w:tc>
          <w:tcPr>
            <w:tcW w:w="1530" w:type="dxa"/>
            <w:tcBorders>
              <w:top w:val="nil"/>
              <w:left w:val="nil"/>
              <w:bottom w:val="single" w:sz="4" w:space="0" w:color="auto"/>
              <w:right w:val="single" w:sz="4" w:space="0" w:color="auto"/>
            </w:tcBorders>
            <w:shd w:val="clear" w:color="auto" w:fill="auto"/>
            <w:noWrap/>
            <w:vAlign w:val="bottom"/>
            <w:hideMark/>
          </w:tcPr>
          <w:p w:rsidR="003F6448" w:rsidRPr="003F6448" w:rsidRDefault="003F6448" w:rsidP="003F6448">
            <w:pPr>
              <w:spacing w:after="0" w:line="240" w:lineRule="auto"/>
              <w:rPr>
                <w:rFonts w:ascii="Calibri" w:eastAsia="Times New Roman" w:hAnsi="Calibri" w:cs="Calibri"/>
                <w:color w:val="000000"/>
              </w:rPr>
            </w:pPr>
            <w:r w:rsidRPr="003F6448">
              <w:rPr>
                <w:rFonts w:ascii="Calibri" w:eastAsia="Times New Roman" w:hAnsi="Calibri" w:cs="Calibri"/>
                <w:color w:val="000000"/>
              </w:rPr>
              <w:t> </w:t>
            </w:r>
          </w:p>
        </w:tc>
        <w:tc>
          <w:tcPr>
            <w:tcW w:w="1440" w:type="dxa"/>
            <w:tcBorders>
              <w:top w:val="nil"/>
              <w:left w:val="nil"/>
              <w:bottom w:val="single" w:sz="4" w:space="0" w:color="auto"/>
              <w:right w:val="single" w:sz="4" w:space="0" w:color="auto"/>
            </w:tcBorders>
            <w:shd w:val="clear" w:color="auto" w:fill="auto"/>
            <w:noWrap/>
            <w:vAlign w:val="bottom"/>
            <w:hideMark/>
          </w:tcPr>
          <w:p w:rsidR="003F6448" w:rsidRPr="003F6448" w:rsidRDefault="003F6448" w:rsidP="003F6448">
            <w:pPr>
              <w:spacing w:after="0" w:line="240" w:lineRule="auto"/>
              <w:rPr>
                <w:rFonts w:ascii="Calibri" w:eastAsia="Times New Roman" w:hAnsi="Calibri" w:cs="Calibri"/>
                <w:color w:val="000000"/>
              </w:rPr>
            </w:pPr>
            <w:r w:rsidRPr="003F6448">
              <w:rPr>
                <w:rFonts w:ascii="Calibri" w:eastAsia="Times New Roman" w:hAnsi="Calibri" w:cs="Calibri"/>
                <w:color w:val="000000"/>
              </w:rPr>
              <w:t> </w:t>
            </w:r>
          </w:p>
        </w:tc>
        <w:tc>
          <w:tcPr>
            <w:tcW w:w="1980" w:type="dxa"/>
            <w:tcBorders>
              <w:top w:val="nil"/>
              <w:left w:val="nil"/>
              <w:bottom w:val="single" w:sz="4" w:space="0" w:color="auto"/>
              <w:right w:val="single" w:sz="4" w:space="0" w:color="auto"/>
            </w:tcBorders>
            <w:shd w:val="clear" w:color="auto" w:fill="auto"/>
            <w:noWrap/>
            <w:vAlign w:val="bottom"/>
            <w:hideMark/>
          </w:tcPr>
          <w:p w:rsidR="003F6448" w:rsidRPr="003F6448" w:rsidRDefault="003F6448" w:rsidP="003F6448">
            <w:pPr>
              <w:spacing w:after="0" w:line="240" w:lineRule="auto"/>
              <w:rPr>
                <w:rFonts w:ascii="Calibri" w:eastAsia="Times New Roman" w:hAnsi="Calibri" w:cs="Calibri"/>
                <w:color w:val="000000"/>
              </w:rPr>
            </w:pPr>
            <w:r w:rsidRPr="003F6448">
              <w:rPr>
                <w:rFonts w:ascii="Calibri" w:eastAsia="Times New Roman" w:hAnsi="Calibri" w:cs="Calibri"/>
                <w:color w:val="000000"/>
              </w:rPr>
              <w:t> </w:t>
            </w:r>
          </w:p>
        </w:tc>
      </w:tr>
      <w:tr w:rsidR="003F6448" w:rsidRPr="003F6448" w:rsidTr="003F6448">
        <w:trPr>
          <w:trHeight w:val="300"/>
        </w:trPr>
        <w:tc>
          <w:tcPr>
            <w:tcW w:w="4155" w:type="dxa"/>
            <w:tcBorders>
              <w:top w:val="nil"/>
              <w:left w:val="single" w:sz="4" w:space="0" w:color="auto"/>
              <w:bottom w:val="single" w:sz="4" w:space="0" w:color="auto"/>
              <w:right w:val="single" w:sz="4" w:space="0" w:color="auto"/>
            </w:tcBorders>
            <w:shd w:val="clear" w:color="auto" w:fill="auto"/>
            <w:noWrap/>
            <w:vAlign w:val="center"/>
            <w:hideMark/>
          </w:tcPr>
          <w:p w:rsidR="003F6448" w:rsidRPr="003F6448" w:rsidRDefault="003F6448" w:rsidP="003F6448">
            <w:pPr>
              <w:spacing w:after="0" w:line="240" w:lineRule="auto"/>
              <w:jc w:val="right"/>
              <w:rPr>
                <w:rFonts w:ascii="Calibri" w:eastAsia="Times New Roman" w:hAnsi="Calibri" w:cs="Calibri"/>
                <w:color w:val="000000"/>
              </w:rPr>
            </w:pPr>
            <w:r w:rsidRPr="003F6448">
              <w:rPr>
                <w:rFonts w:ascii="Calibri" w:eastAsia="Times New Roman" w:hAnsi="Calibri" w:cs="Calibri"/>
                <w:color w:val="000000"/>
              </w:rPr>
              <w:t>Final VOR Read Ahead Package Submitted</w:t>
            </w:r>
          </w:p>
        </w:tc>
        <w:tc>
          <w:tcPr>
            <w:tcW w:w="1530" w:type="dxa"/>
            <w:tcBorders>
              <w:top w:val="nil"/>
              <w:left w:val="nil"/>
              <w:bottom w:val="single" w:sz="4" w:space="0" w:color="auto"/>
              <w:right w:val="single" w:sz="4" w:space="0" w:color="auto"/>
            </w:tcBorders>
            <w:shd w:val="clear" w:color="auto" w:fill="auto"/>
            <w:noWrap/>
            <w:vAlign w:val="bottom"/>
            <w:hideMark/>
          </w:tcPr>
          <w:p w:rsidR="003F6448" w:rsidRPr="003F6448" w:rsidRDefault="003F6448" w:rsidP="003F6448">
            <w:pPr>
              <w:spacing w:after="0" w:line="240" w:lineRule="auto"/>
              <w:rPr>
                <w:rFonts w:ascii="Calibri" w:eastAsia="Times New Roman" w:hAnsi="Calibri" w:cs="Calibri"/>
                <w:color w:val="000000"/>
              </w:rPr>
            </w:pPr>
            <w:r w:rsidRPr="003F6448">
              <w:rPr>
                <w:rFonts w:ascii="Calibri" w:eastAsia="Times New Roman" w:hAnsi="Calibri" w:cs="Calibri"/>
                <w:color w:val="000000"/>
              </w:rPr>
              <w:t> </w:t>
            </w:r>
          </w:p>
        </w:tc>
        <w:tc>
          <w:tcPr>
            <w:tcW w:w="1440" w:type="dxa"/>
            <w:tcBorders>
              <w:top w:val="nil"/>
              <w:left w:val="nil"/>
              <w:bottom w:val="single" w:sz="4" w:space="0" w:color="auto"/>
              <w:right w:val="single" w:sz="4" w:space="0" w:color="auto"/>
            </w:tcBorders>
            <w:shd w:val="clear" w:color="auto" w:fill="auto"/>
            <w:noWrap/>
            <w:vAlign w:val="bottom"/>
            <w:hideMark/>
          </w:tcPr>
          <w:p w:rsidR="003F6448" w:rsidRPr="003F6448" w:rsidRDefault="003F6448" w:rsidP="003F6448">
            <w:pPr>
              <w:spacing w:after="0" w:line="240" w:lineRule="auto"/>
              <w:rPr>
                <w:rFonts w:ascii="Calibri" w:eastAsia="Times New Roman" w:hAnsi="Calibri" w:cs="Calibri"/>
                <w:color w:val="000000"/>
              </w:rPr>
            </w:pPr>
            <w:r w:rsidRPr="003F6448">
              <w:rPr>
                <w:rFonts w:ascii="Calibri" w:eastAsia="Times New Roman" w:hAnsi="Calibri" w:cs="Calibri"/>
                <w:color w:val="000000"/>
              </w:rPr>
              <w:t> </w:t>
            </w:r>
          </w:p>
        </w:tc>
        <w:tc>
          <w:tcPr>
            <w:tcW w:w="1980" w:type="dxa"/>
            <w:tcBorders>
              <w:top w:val="nil"/>
              <w:left w:val="nil"/>
              <w:bottom w:val="single" w:sz="4" w:space="0" w:color="auto"/>
              <w:right w:val="single" w:sz="4" w:space="0" w:color="auto"/>
            </w:tcBorders>
            <w:shd w:val="clear" w:color="auto" w:fill="auto"/>
            <w:noWrap/>
            <w:vAlign w:val="bottom"/>
            <w:hideMark/>
          </w:tcPr>
          <w:p w:rsidR="003F6448" w:rsidRPr="003F6448" w:rsidRDefault="003F6448" w:rsidP="003F6448">
            <w:pPr>
              <w:spacing w:after="0" w:line="240" w:lineRule="auto"/>
              <w:rPr>
                <w:rFonts w:ascii="Calibri" w:eastAsia="Times New Roman" w:hAnsi="Calibri" w:cs="Calibri"/>
                <w:color w:val="000000"/>
              </w:rPr>
            </w:pPr>
            <w:r w:rsidRPr="003F6448">
              <w:rPr>
                <w:rFonts w:ascii="Calibri" w:eastAsia="Times New Roman" w:hAnsi="Calibri" w:cs="Calibri"/>
                <w:color w:val="000000"/>
              </w:rPr>
              <w:t> </w:t>
            </w:r>
          </w:p>
        </w:tc>
      </w:tr>
      <w:tr w:rsidR="003F6448" w:rsidRPr="003F6448" w:rsidTr="003F6448">
        <w:trPr>
          <w:trHeight w:val="300"/>
        </w:trPr>
        <w:tc>
          <w:tcPr>
            <w:tcW w:w="4155" w:type="dxa"/>
            <w:tcBorders>
              <w:top w:val="nil"/>
              <w:left w:val="single" w:sz="4" w:space="0" w:color="auto"/>
              <w:bottom w:val="single" w:sz="4" w:space="0" w:color="auto"/>
              <w:right w:val="single" w:sz="4" w:space="0" w:color="auto"/>
            </w:tcBorders>
            <w:shd w:val="clear" w:color="auto" w:fill="auto"/>
            <w:noWrap/>
            <w:vAlign w:val="center"/>
            <w:hideMark/>
          </w:tcPr>
          <w:p w:rsidR="003F6448" w:rsidRPr="003F6448" w:rsidRDefault="003F6448" w:rsidP="003F6448">
            <w:pPr>
              <w:spacing w:after="0" w:line="240" w:lineRule="auto"/>
              <w:jc w:val="right"/>
              <w:rPr>
                <w:rFonts w:ascii="Calibri" w:eastAsia="Times New Roman" w:hAnsi="Calibri" w:cs="Calibri"/>
                <w:b/>
                <w:bCs/>
                <w:color w:val="000000"/>
              </w:rPr>
            </w:pPr>
            <w:r w:rsidRPr="003F6448">
              <w:rPr>
                <w:rFonts w:ascii="Calibri" w:eastAsia="Times New Roman" w:hAnsi="Calibri" w:cs="Calibri"/>
                <w:b/>
                <w:bCs/>
                <w:color w:val="000000"/>
              </w:rPr>
              <w:t>Total cost estimate:</w:t>
            </w:r>
          </w:p>
        </w:tc>
        <w:tc>
          <w:tcPr>
            <w:tcW w:w="1530" w:type="dxa"/>
            <w:tcBorders>
              <w:top w:val="nil"/>
              <w:left w:val="nil"/>
              <w:bottom w:val="single" w:sz="4" w:space="0" w:color="auto"/>
              <w:right w:val="single" w:sz="4" w:space="0" w:color="auto"/>
            </w:tcBorders>
            <w:shd w:val="clear" w:color="auto" w:fill="auto"/>
            <w:noWrap/>
            <w:vAlign w:val="bottom"/>
            <w:hideMark/>
          </w:tcPr>
          <w:p w:rsidR="003F6448" w:rsidRPr="003F6448" w:rsidRDefault="003F6448" w:rsidP="003F6448">
            <w:pPr>
              <w:spacing w:after="0" w:line="240" w:lineRule="auto"/>
              <w:rPr>
                <w:rFonts w:ascii="Calibri" w:eastAsia="Times New Roman" w:hAnsi="Calibri" w:cs="Calibri"/>
                <w:color w:val="000000"/>
              </w:rPr>
            </w:pPr>
            <w:r w:rsidRPr="003F6448">
              <w:rPr>
                <w:rFonts w:ascii="Calibri" w:eastAsia="Times New Roman" w:hAnsi="Calibri" w:cs="Calibri"/>
                <w:color w:val="000000"/>
              </w:rPr>
              <w:t> </w:t>
            </w:r>
          </w:p>
        </w:tc>
        <w:tc>
          <w:tcPr>
            <w:tcW w:w="1440" w:type="dxa"/>
            <w:tcBorders>
              <w:top w:val="nil"/>
              <w:left w:val="nil"/>
              <w:bottom w:val="single" w:sz="4" w:space="0" w:color="auto"/>
              <w:right w:val="single" w:sz="4" w:space="0" w:color="auto"/>
            </w:tcBorders>
            <w:shd w:val="clear" w:color="auto" w:fill="auto"/>
            <w:noWrap/>
            <w:vAlign w:val="bottom"/>
            <w:hideMark/>
          </w:tcPr>
          <w:p w:rsidR="003F6448" w:rsidRPr="003F6448" w:rsidRDefault="003F6448" w:rsidP="003F6448">
            <w:pPr>
              <w:spacing w:after="0" w:line="240" w:lineRule="auto"/>
              <w:rPr>
                <w:rFonts w:ascii="Calibri" w:eastAsia="Times New Roman" w:hAnsi="Calibri" w:cs="Calibri"/>
                <w:color w:val="000000"/>
              </w:rPr>
            </w:pPr>
            <w:r w:rsidRPr="003F6448">
              <w:rPr>
                <w:rFonts w:ascii="Calibri" w:eastAsia="Times New Roman" w:hAnsi="Calibri" w:cs="Calibri"/>
                <w:color w:val="000000"/>
              </w:rPr>
              <w:t> </w:t>
            </w:r>
          </w:p>
        </w:tc>
        <w:tc>
          <w:tcPr>
            <w:tcW w:w="1980" w:type="dxa"/>
            <w:tcBorders>
              <w:top w:val="nil"/>
              <w:left w:val="nil"/>
              <w:bottom w:val="single" w:sz="4" w:space="0" w:color="auto"/>
              <w:right w:val="single" w:sz="4" w:space="0" w:color="auto"/>
            </w:tcBorders>
            <w:shd w:val="clear" w:color="auto" w:fill="auto"/>
            <w:noWrap/>
            <w:vAlign w:val="bottom"/>
            <w:hideMark/>
          </w:tcPr>
          <w:p w:rsidR="003F6448" w:rsidRPr="003F6448" w:rsidRDefault="003F6448" w:rsidP="003F6448">
            <w:pPr>
              <w:spacing w:after="0" w:line="240" w:lineRule="auto"/>
              <w:rPr>
                <w:rFonts w:ascii="Calibri" w:eastAsia="Times New Roman" w:hAnsi="Calibri" w:cs="Calibri"/>
                <w:color w:val="000000"/>
              </w:rPr>
            </w:pPr>
            <w:r w:rsidRPr="003F6448">
              <w:rPr>
                <w:rFonts w:ascii="Calibri" w:eastAsia="Times New Roman" w:hAnsi="Calibri" w:cs="Calibri"/>
                <w:color w:val="000000"/>
              </w:rPr>
              <w:t> </w:t>
            </w:r>
          </w:p>
        </w:tc>
      </w:tr>
    </w:tbl>
    <w:p w:rsidR="004C3335" w:rsidRDefault="004C3335">
      <w:pPr>
        <w:rPr>
          <w:rFonts w:cstheme="minorHAnsi"/>
          <w:b/>
          <w:bCs/>
        </w:rPr>
      </w:pPr>
    </w:p>
    <w:tbl>
      <w:tblPr>
        <w:tblW w:w="9105" w:type="dxa"/>
        <w:tblInd w:w="93" w:type="dxa"/>
        <w:tblLook w:val="04A0" w:firstRow="1" w:lastRow="0" w:firstColumn="1" w:lastColumn="0" w:noHBand="0" w:noVBand="1"/>
      </w:tblPr>
      <w:tblGrid>
        <w:gridCol w:w="4155"/>
        <w:gridCol w:w="1530"/>
        <w:gridCol w:w="1440"/>
        <w:gridCol w:w="1980"/>
      </w:tblGrid>
      <w:tr w:rsidR="001A0E47" w:rsidRPr="003F6448" w:rsidTr="006F02AA">
        <w:trPr>
          <w:trHeight w:val="300"/>
        </w:trPr>
        <w:tc>
          <w:tcPr>
            <w:tcW w:w="415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A0E47" w:rsidRPr="003F6448" w:rsidRDefault="001A0E47" w:rsidP="006F02AA">
            <w:pPr>
              <w:spacing w:after="0" w:line="240" w:lineRule="auto"/>
              <w:jc w:val="center"/>
              <w:rPr>
                <w:rFonts w:ascii="Calibri" w:eastAsia="Times New Roman" w:hAnsi="Calibri" w:cs="Calibri"/>
                <w:b/>
                <w:bCs/>
                <w:color w:val="000000"/>
              </w:rPr>
            </w:pPr>
            <w:r w:rsidRPr="003F6448">
              <w:rPr>
                <w:rFonts w:ascii="Calibri" w:eastAsia="Times New Roman" w:hAnsi="Calibri" w:cs="Calibri"/>
                <w:b/>
                <w:bCs/>
                <w:color w:val="000000"/>
              </w:rPr>
              <w:t>Task</w:t>
            </w:r>
          </w:p>
        </w:tc>
        <w:tc>
          <w:tcPr>
            <w:tcW w:w="1530" w:type="dxa"/>
            <w:tcBorders>
              <w:top w:val="single" w:sz="4" w:space="0" w:color="auto"/>
              <w:left w:val="nil"/>
              <w:bottom w:val="single" w:sz="4" w:space="0" w:color="auto"/>
              <w:right w:val="single" w:sz="4" w:space="0" w:color="auto"/>
            </w:tcBorders>
            <w:shd w:val="clear" w:color="auto" w:fill="auto"/>
            <w:noWrap/>
            <w:vAlign w:val="bottom"/>
            <w:hideMark/>
          </w:tcPr>
          <w:p w:rsidR="001A0E47" w:rsidRPr="003F6448" w:rsidRDefault="001A0E47" w:rsidP="006F02AA">
            <w:pPr>
              <w:spacing w:after="0" w:line="240" w:lineRule="auto"/>
              <w:jc w:val="center"/>
              <w:rPr>
                <w:rFonts w:ascii="Calibri" w:eastAsia="Times New Roman" w:hAnsi="Calibri" w:cs="Calibri"/>
                <w:b/>
                <w:bCs/>
                <w:color w:val="000000"/>
              </w:rPr>
            </w:pPr>
            <w:r w:rsidRPr="003F6448">
              <w:rPr>
                <w:rFonts w:ascii="Calibri" w:eastAsia="Times New Roman" w:hAnsi="Calibri" w:cs="Calibri"/>
                <w:b/>
                <w:bCs/>
                <w:color w:val="000000"/>
              </w:rPr>
              <w:t>Hours</w:t>
            </w:r>
          </w:p>
        </w:tc>
        <w:tc>
          <w:tcPr>
            <w:tcW w:w="1440" w:type="dxa"/>
            <w:tcBorders>
              <w:top w:val="single" w:sz="4" w:space="0" w:color="auto"/>
              <w:left w:val="nil"/>
              <w:bottom w:val="single" w:sz="4" w:space="0" w:color="auto"/>
              <w:right w:val="single" w:sz="4" w:space="0" w:color="auto"/>
            </w:tcBorders>
            <w:shd w:val="clear" w:color="auto" w:fill="auto"/>
            <w:noWrap/>
            <w:vAlign w:val="bottom"/>
            <w:hideMark/>
          </w:tcPr>
          <w:p w:rsidR="001A0E47" w:rsidRDefault="001A0E47" w:rsidP="006F02AA">
            <w:pPr>
              <w:spacing w:after="0" w:line="240" w:lineRule="auto"/>
              <w:jc w:val="center"/>
              <w:rPr>
                <w:rFonts w:ascii="Calibri" w:eastAsia="Times New Roman" w:hAnsi="Calibri" w:cs="Calibri"/>
                <w:b/>
                <w:bCs/>
                <w:color w:val="000000"/>
              </w:rPr>
            </w:pPr>
            <w:r w:rsidRPr="003F6448">
              <w:rPr>
                <w:rFonts w:ascii="Calibri" w:eastAsia="Times New Roman" w:hAnsi="Calibri" w:cs="Calibri"/>
                <w:b/>
                <w:bCs/>
                <w:color w:val="000000"/>
              </w:rPr>
              <w:t>Duration</w:t>
            </w:r>
          </w:p>
          <w:p w:rsidR="001A0E47" w:rsidRPr="003F6448" w:rsidRDefault="001A0E47" w:rsidP="006F02AA">
            <w:pPr>
              <w:spacing w:after="0" w:line="240" w:lineRule="auto"/>
              <w:jc w:val="center"/>
              <w:rPr>
                <w:rFonts w:ascii="Calibri" w:eastAsia="Times New Roman" w:hAnsi="Calibri" w:cs="Calibri"/>
                <w:b/>
                <w:bCs/>
                <w:color w:val="000000"/>
              </w:rPr>
            </w:pPr>
            <w:r w:rsidRPr="003F6448">
              <w:rPr>
                <w:rFonts w:ascii="Calibri" w:eastAsia="Times New Roman" w:hAnsi="Calibri" w:cs="Calibri"/>
                <w:b/>
                <w:bCs/>
                <w:color w:val="000000"/>
              </w:rPr>
              <w:t xml:space="preserve"> (in Weeks)</w:t>
            </w:r>
          </w:p>
        </w:tc>
        <w:tc>
          <w:tcPr>
            <w:tcW w:w="1980" w:type="dxa"/>
            <w:tcBorders>
              <w:top w:val="single" w:sz="4" w:space="0" w:color="auto"/>
              <w:left w:val="nil"/>
              <w:bottom w:val="single" w:sz="4" w:space="0" w:color="auto"/>
              <w:right w:val="single" w:sz="4" w:space="0" w:color="auto"/>
            </w:tcBorders>
            <w:shd w:val="clear" w:color="auto" w:fill="auto"/>
            <w:noWrap/>
            <w:vAlign w:val="bottom"/>
            <w:hideMark/>
          </w:tcPr>
          <w:p w:rsidR="001A0E47" w:rsidRPr="003F6448" w:rsidRDefault="001A0E47" w:rsidP="006F02AA">
            <w:pPr>
              <w:spacing w:after="0" w:line="240" w:lineRule="auto"/>
              <w:jc w:val="center"/>
              <w:rPr>
                <w:rFonts w:ascii="Calibri" w:eastAsia="Times New Roman" w:hAnsi="Calibri" w:cs="Calibri"/>
                <w:b/>
                <w:bCs/>
                <w:color w:val="000000"/>
              </w:rPr>
            </w:pPr>
            <w:r w:rsidRPr="003F6448">
              <w:rPr>
                <w:rFonts w:ascii="Calibri" w:eastAsia="Times New Roman" w:hAnsi="Calibri" w:cs="Calibri"/>
                <w:b/>
                <w:bCs/>
                <w:color w:val="000000"/>
              </w:rPr>
              <w:t>Cost</w:t>
            </w:r>
          </w:p>
        </w:tc>
      </w:tr>
      <w:tr w:rsidR="001A0E47" w:rsidRPr="003F6448" w:rsidTr="006F02AA">
        <w:trPr>
          <w:trHeight w:val="300"/>
        </w:trPr>
        <w:tc>
          <w:tcPr>
            <w:tcW w:w="4155" w:type="dxa"/>
            <w:tcBorders>
              <w:top w:val="nil"/>
              <w:left w:val="single" w:sz="4" w:space="0" w:color="auto"/>
              <w:bottom w:val="single" w:sz="4" w:space="0" w:color="auto"/>
              <w:right w:val="single" w:sz="4" w:space="0" w:color="auto"/>
            </w:tcBorders>
            <w:shd w:val="clear" w:color="auto" w:fill="auto"/>
            <w:noWrap/>
            <w:vAlign w:val="center"/>
            <w:hideMark/>
          </w:tcPr>
          <w:p w:rsidR="001A0E47" w:rsidRPr="003F6448" w:rsidRDefault="001A0E47" w:rsidP="006F02AA">
            <w:pPr>
              <w:spacing w:after="0" w:line="240" w:lineRule="auto"/>
              <w:jc w:val="right"/>
              <w:rPr>
                <w:rFonts w:ascii="Calibri" w:eastAsia="Times New Roman" w:hAnsi="Calibri" w:cs="Calibri"/>
                <w:b/>
                <w:color w:val="000000"/>
              </w:rPr>
            </w:pPr>
            <w:r w:rsidRPr="001A0E47">
              <w:rPr>
                <w:rFonts w:ascii="Calibri" w:eastAsia="Times New Roman" w:hAnsi="Calibri" w:cs="Calibri"/>
                <w:b/>
                <w:color w:val="000000"/>
              </w:rPr>
              <w:t>Common Criteria Consulting Total</w:t>
            </w:r>
          </w:p>
        </w:tc>
        <w:tc>
          <w:tcPr>
            <w:tcW w:w="1530" w:type="dxa"/>
            <w:tcBorders>
              <w:top w:val="nil"/>
              <w:left w:val="nil"/>
              <w:bottom w:val="single" w:sz="4" w:space="0" w:color="auto"/>
              <w:right w:val="single" w:sz="4" w:space="0" w:color="auto"/>
            </w:tcBorders>
            <w:shd w:val="clear" w:color="auto" w:fill="auto"/>
            <w:noWrap/>
            <w:vAlign w:val="bottom"/>
            <w:hideMark/>
          </w:tcPr>
          <w:p w:rsidR="001A0E47" w:rsidRPr="003F6448" w:rsidRDefault="001A0E47" w:rsidP="006F02AA">
            <w:pPr>
              <w:spacing w:after="0" w:line="240" w:lineRule="auto"/>
              <w:rPr>
                <w:rFonts w:ascii="Calibri" w:eastAsia="Times New Roman" w:hAnsi="Calibri" w:cs="Calibri"/>
                <w:b/>
                <w:color w:val="000000"/>
              </w:rPr>
            </w:pPr>
            <w:r w:rsidRPr="003F6448">
              <w:rPr>
                <w:rFonts w:ascii="Calibri" w:eastAsia="Times New Roman" w:hAnsi="Calibri" w:cs="Calibri"/>
                <w:b/>
                <w:color w:val="000000"/>
              </w:rPr>
              <w:t> </w:t>
            </w:r>
          </w:p>
        </w:tc>
        <w:tc>
          <w:tcPr>
            <w:tcW w:w="1440" w:type="dxa"/>
            <w:tcBorders>
              <w:top w:val="nil"/>
              <w:left w:val="nil"/>
              <w:bottom w:val="single" w:sz="4" w:space="0" w:color="auto"/>
              <w:right w:val="single" w:sz="4" w:space="0" w:color="auto"/>
            </w:tcBorders>
            <w:shd w:val="clear" w:color="auto" w:fill="auto"/>
            <w:noWrap/>
            <w:vAlign w:val="bottom"/>
            <w:hideMark/>
          </w:tcPr>
          <w:p w:rsidR="001A0E47" w:rsidRPr="003F6448" w:rsidRDefault="001A0E47" w:rsidP="006F02AA">
            <w:pPr>
              <w:spacing w:after="0" w:line="240" w:lineRule="auto"/>
              <w:rPr>
                <w:rFonts w:ascii="Calibri" w:eastAsia="Times New Roman" w:hAnsi="Calibri" w:cs="Calibri"/>
                <w:b/>
                <w:color w:val="000000"/>
              </w:rPr>
            </w:pPr>
            <w:r w:rsidRPr="003F6448">
              <w:rPr>
                <w:rFonts w:ascii="Calibri" w:eastAsia="Times New Roman" w:hAnsi="Calibri" w:cs="Calibri"/>
                <w:b/>
                <w:color w:val="000000"/>
              </w:rPr>
              <w:t> </w:t>
            </w:r>
          </w:p>
        </w:tc>
        <w:tc>
          <w:tcPr>
            <w:tcW w:w="1980" w:type="dxa"/>
            <w:tcBorders>
              <w:top w:val="nil"/>
              <w:left w:val="nil"/>
              <w:bottom w:val="single" w:sz="4" w:space="0" w:color="auto"/>
              <w:right w:val="single" w:sz="4" w:space="0" w:color="auto"/>
            </w:tcBorders>
            <w:shd w:val="clear" w:color="auto" w:fill="auto"/>
            <w:noWrap/>
            <w:vAlign w:val="bottom"/>
            <w:hideMark/>
          </w:tcPr>
          <w:p w:rsidR="001A0E47" w:rsidRPr="003F6448" w:rsidRDefault="001A0E47" w:rsidP="006F02AA">
            <w:pPr>
              <w:spacing w:after="0" w:line="240" w:lineRule="auto"/>
              <w:rPr>
                <w:rFonts w:ascii="Calibri" w:eastAsia="Times New Roman" w:hAnsi="Calibri" w:cs="Calibri"/>
                <w:b/>
                <w:color w:val="000000"/>
              </w:rPr>
            </w:pPr>
            <w:r w:rsidRPr="003F6448">
              <w:rPr>
                <w:rFonts w:ascii="Calibri" w:eastAsia="Times New Roman" w:hAnsi="Calibri" w:cs="Calibri"/>
                <w:b/>
                <w:color w:val="000000"/>
              </w:rPr>
              <w:t> </w:t>
            </w:r>
          </w:p>
        </w:tc>
      </w:tr>
      <w:tr w:rsidR="001A0E47" w:rsidRPr="003F6448" w:rsidTr="006F02AA">
        <w:trPr>
          <w:trHeight w:val="300"/>
        </w:trPr>
        <w:tc>
          <w:tcPr>
            <w:tcW w:w="4155" w:type="dxa"/>
            <w:tcBorders>
              <w:top w:val="nil"/>
              <w:left w:val="single" w:sz="4" w:space="0" w:color="auto"/>
              <w:bottom w:val="single" w:sz="4" w:space="0" w:color="auto"/>
              <w:right w:val="single" w:sz="4" w:space="0" w:color="auto"/>
            </w:tcBorders>
            <w:shd w:val="clear" w:color="auto" w:fill="auto"/>
            <w:noWrap/>
            <w:vAlign w:val="center"/>
            <w:hideMark/>
          </w:tcPr>
          <w:p w:rsidR="001A0E47" w:rsidRPr="003F6448" w:rsidRDefault="001A0E47" w:rsidP="006F02AA">
            <w:pPr>
              <w:spacing w:after="0" w:line="240" w:lineRule="auto"/>
              <w:jc w:val="right"/>
              <w:rPr>
                <w:rFonts w:ascii="Calibri" w:eastAsia="Times New Roman" w:hAnsi="Calibri" w:cs="Calibri"/>
                <w:b/>
                <w:color w:val="000000"/>
              </w:rPr>
            </w:pPr>
            <w:r w:rsidRPr="001A0E47">
              <w:rPr>
                <w:rFonts w:ascii="Calibri" w:eastAsia="Times New Roman" w:hAnsi="Calibri" w:cs="Calibri"/>
                <w:b/>
                <w:color w:val="000000"/>
              </w:rPr>
              <w:t>Common Criteria Evaluation Total</w:t>
            </w:r>
          </w:p>
        </w:tc>
        <w:tc>
          <w:tcPr>
            <w:tcW w:w="1530" w:type="dxa"/>
            <w:tcBorders>
              <w:top w:val="nil"/>
              <w:left w:val="nil"/>
              <w:bottom w:val="single" w:sz="4" w:space="0" w:color="auto"/>
              <w:right w:val="single" w:sz="4" w:space="0" w:color="auto"/>
            </w:tcBorders>
            <w:shd w:val="clear" w:color="auto" w:fill="auto"/>
            <w:noWrap/>
            <w:vAlign w:val="bottom"/>
            <w:hideMark/>
          </w:tcPr>
          <w:p w:rsidR="001A0E47" w:rsidRPr="003F6448" w:rsidRDefault="001A0E47" w:rsidP="006F02AA">
            <w:pPr>
              <w:spacing w:after="0" w:line="240" w:lineRule="auto"/>
              <w:rPr>
                <w:rFonts w:ascii="Calibri" w:eastAsia="Times New Roman" w:hAnsi="Calibri" w:cs="Calibri"/>
                <w:b/>
                <w:color w:val="000000"/>
              </w:rPr>
            </w:pPr>
            <w:r w:rsidRPr="003F6448">
              <w:rPr>
                <w:rFonts w:ascii="Calibri" w:eastAsia="Times New Roman" w:hAnsi="Calibri" w:cs="Calibri"/>
                <w:b/>
                <w:color w:val="000000"/>
              </w:rPr>
              <w:t> </w:t>
            </w:r>
          </w:p>
        </w:tc>
        <w:tc>
          <w:tcPr>
            <w:tcW w:w="1440" w:type="dxa"/>
            <w:tcBorders>
              <w:top w:val="nil"/>
              <w:left w:val="nil"/>
              <w:bottom w:val="single" w:sz="4" w:space="0" w:color="auto"/>
              <w:right w:val="single" w:sz="4" w:space="0" w:color="auto"/>
            </w:tcBorders>
            <w:shd w:val="clear" w:color="auto" w:fill="auto"/>
            <w:noWrap/>
            <w:vAlign w:val="bottom"/>
            <w:hideMark/>
          </w:tcPr>
          <w:p w:rsidR="001A0E47" w:rsidRPr="003F6448" w:rsidRDefault="001A0E47" w:rsidP="006F02AA">
            <w:pPr>
              <w:spacing w:after="0" w:line="240" w:lineRule="auto"/>
              <w:rPr>
                <w:rFonts w:ascii="Calibri" w:eastAsia="Times New Roman" w:hAnsi="Calibri" w:cs="Calibri"/>
                <w:b/>
                <w:color w:val="000000"/>
              </w:rPr>
            </w:pPr>
            <w:r w:rsidRPr="003F6448">
              <w:rPr>
                <w:rFonts w:ascii="Calibri" w:eastAsia="Times New Roman" w:hAnsi="Calibri" w:cs="Calibri"/>
                <w:b/>
                <w:color w:val="000000"/>
              </w:rPr>
              <w:t> </w:t>
            </w:r>
          </w:p>
        </w:tc>
        <w:tc>
          <w:tcPr>
            <w:tcW w:w="1980" w:type="dxa"/>
            <w:tcBorders>
              <w:top w:val="nil"/>
              <w:left w:val="nil"/>
              <w:bottom w:val="single" w:sz="4" w:space="0" w:color="auto"/>
              <w:right w:val="single" w:sz="4" w:space="0" w:color="auto"/>
            </w:tcBorders>
            <w:shd w:val="clear" w:color="auto" w:fill="auto"/>
            <w:noWrap/>
            <w:vAlign w:val="bottom"/>
            <w:hideMark/>
          </w:tcPr>
          <w:p w:rsidR="001A0E47" w:rsidRPr="003F6448" w:rsidRDefault="001A0E47" w:rsidP="006F02AA">
            <w:pPr>
              <w:spacing w:after="0" w:line="240" w:lineRule="auto"/>
              <w:rPr>
                <w:rFonts w:ascii="Calibri" w:eastAsia="Times New Roman" w:hAnsi="Calibri" w:cs="Calibri"/>
                <w:b/>
                <w:color w:val="000000"/>
              </w:rPr>
            </w:pPr>
            <w:r w:rsidRPr="003F6448">
              <w:rPr>
                <w:rFonts w:ascii="Calibri" w:eastAsia="Times New Roman" w:hAnsi="Calibri" w:cs="Calibri"/>
                <w:b/>
                <w:color w:val="000000"/>
              </w:rPr>
              <w:t> </w:t>
            </w:r>
          </w:p>
        </w:tc>
      </w:tr>
    </w:tbl>
    <w:p w:rsidR="001A0E47" w:rsidRDefault="001A0E47">
      <w:pPr>
        <w:rPr>
          <w:rFonts w:cstheme="minorHAnsi"/>
          <w:b/>
          <w:bCs/>
        </w:rPr>
      </w:pPr>
    </w:p>
    <w:p w:rsidR="00536DA8" w:rsidRPr="003B77F4" w:rsidRDefault="00536DA8" w:rsidP="00536DA8">
      <w:pPr>
        <w:autoSpaceDE w:val="0"/>
        <w:autoSpaceDN w:val="0"/>
        <w:adjustRightInd w:val="0"/>
        <w:spacing w:after="0" w:line="240" w:lineRule="auto"/>
        <w:rPr>
          <w:rFonts w:cstheme="minorHAnsi"/>
          <w:b/>
          <w:bCs/>
        </w:rPr>
      </w:pPr>
      <w:r w:rsidRPr="003B77F4">
        <w:rPr>
          <w:rFonts w:cstheme="minorHAnsi"/>
          <w:b/>
          <w:bCs/>
        </w:rPr>
        <w:t>General Information</w:t>
      </w:r>
    </w:p>
    <w:p w:rsidR="00536DA8" w:rsidRPr="003B77F4" w:rsidRDefault="00536DA8" w:rsidP="00536DA8">
      <w:pPr>
        <w:pStyle w:val="ListParagraph"/>
        <w:numPr>
          <w:ilvl w:val="0"/>
          <w:numId w:val="12"/>
        </w:numPr>
        <w:autoSpaceDE w:val="0"/>
        <w:autoSpaceDN w:val="0"/>
        <w:adjustRightInd w:val="0"/>
        <w:spacing w:after="0" w:line="240" w:lineRule="auto"/>
        <w:rPr>
          <w:rFonts w:cstheme="minorHAnsi"/>
        </w:rPr>
      </w:pPr>
      <w:r w:rsidRPr="003B77F4">
        <w:rPr>
          <w:rFonts w:cstheme="minorHAnsi"/>
        </w:rPr>
        <w:t>Any documentation needed for document creation, update, and testing will be made available to the Contractor Lab Team in a timely fashion and that the Point of Contact (POC) for COE and other COE personnel will be available for the requisite interviews and for transfer of knowledge concerning the system’s function and security features.</w:t>
      </w:r>
    </w:p>
    <w:p w:rsidR="00536DA8" w:rsidRPr="00536DA8" w:rsidRDefault="00536DA8" w:rsidP="00536DA8">
      <w:pPr>
        <w:pStyle w:val="ListParagraph"/>
        <w:numPr>
          <w:ilvl w:val="0"/>
          <w:numId w:val="12"/>
        </w:numPr>
        <w:rPr>
          <w:rFonts w:cstheme="minorHAnsi"/>
          <w:b/>
          <w:bCs/>
        </w:rPr>
      </w:pPr>
      <w:r w:rsidRPr="00536DA8">
        <w:rPr>
          <w:rFonts w:cstheme="minorHAnsi"/>
        </w:rPr>
        <w:t>The response to this proposal does not constitute a contract. Depending on testing options chosen an appropriate contract will be generated with the options included in the contract.</w:t>
      </w:r>
    </w:p>
    <w:sectPr w:rsidR="00536DA8" w:rsidRPr="00536DA8" w:rsidSect="00EB50D0">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3DFB" w:rsidRDefault="00E23DFB" w:rsidP="00880396">
      <w:pPr>
        <w:spacing w:after="0" w:line="240" w:lineRule="auto"/>
      </w:pPr>
      <w:r>
        <w:separator/>
      </w:r>
    </w:p>
  </w:endnote>
  <w:endnote w:type="continuationSeparator" w:id="0">
    <w:p w:rsidR="00E23DFB" w:rsidRDefault="00E23DFB" w:rsidP="008803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3DFB" w:rsidRDefault="00E23DFB" w:rsidP="00880396">
      <w:pPr>
        <w:spacing w:after="0" w:line="240" w:lineRule="auto"/>
      </w:pPr>
      <w:r>
        <w:separator/>
      </w:r>
    </w:p>
  </w:footnote>
  <w:footnote w:type="continuationSeparator" w:id="0">
    <w:p w:rsidR="00E23DFB" w:rsidRDefault="00E23DFB" w:rsidP="0088039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0396" w:rsidRPr="00880396" w:rsidRDefault="00880396" w:rsidP="00880396">
    <w:pPr>
      <w:autoSpaceDE w:val="0"/>
      <w:autoSpaceDN w:val="0"/>
      <w:adjustRightInd w:val="0"/>
      <w:spacing w:after="0" w:line="240" w:lineRule="auto"/>
      <w:rPr>
        <w:rFonts w:asciiTheme="majorHAnsi" w:hAnsiTheme="majorHAnsi" w:cs="Times New Roman"/>
        <w:b/>
        <w:bCs/>
        <w:sz w:val="24"/>
        <w:szCs w:val="24"/>
      </w:rPr>
    </w:pPr>
    <w:r w:rsidRPr="00880396">
      <w:rPr>
        <w:rFonts w:asciiTheme="majorHAnsi" w:hAnsiTheme="majorHAnsi" w:cs="Times New Roman"/>
        <w:b/>
        <w:bCs/>
        <w:sz w:val="24"/>
        <w:szCs w:val="24"/>
      </w:rPr>
      <w:t xml:space="preserve">Common Criteria </w:t>
    </w:r>
    <w:r w:rsidR="00473C9A">
      <w:rPr>
        <w:rFonts w:asciiTheme="majorHAnsi" w:hAnsiTheme="majorHAnsi" w:cs="Times New Roman"/>
        <w:b/>
        <w:bCs/>
        <w:sz w:val="24"/>
        <w:szCs w:val="24"/>
      </w:rPr>
      <w:t>Consulting/</w:t>
    </w:r>
    <w:r w:rsidR="001A0E47">
      <w:rPr>
        <w:rFonts w:asciiTheme="majorHAnsi" w:hAnsiTheme="majorHAnsi" w:cs="Times New Roman"/>
        <w:b/>
        <w:bCs/>
        <w:sz w:val="24"/>
        <w:szCs w:val="24"/>
      </w:rPr>
      <w:t>Evaluation</w:t>
    </w:r>
  </w:p>
  <w:p w:rsidR="00880396" w:rsidRDefault="0088039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117F3F"/>
    <w:multiLevelType w:val="hybridMultilevel"/>
    <w:tmpl w:val="DC3ED7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ACF52F9"/>
    <w:multiLevelType w:val="hybridMultilevel"/>
    <w:tmpl w:val="C19858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E044277"/>
    <w:multiLevelType w:val="hybridMultilevel"/>
    <w:tmpl w:val="5C7ED8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F8E39F8"/>
    <w:multiLevelType w:val="hybridMultilevel"/>
    <w:tmpl w:val="2C8410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33F5594"/>
    <w:multiLevelType w:val="hybridMultilevel"/>
    <w:tmpl w:val="CA48C1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4573BBC"/>
    <w:multiLevelType w:val="hybridMultilevel"/>
    <w:tmpl w:val="D7706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66302C3"/>
    <w:multiLevelType w:val="hybridMultilevel"/>
    <w:tmpl w:val="2C02C4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47004CB"/>
    <w:multiLevelType w:val="hybridMultilevel"/>
    <w:tmpl w:val="0EF4E3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7E36582"/>
    <w:multiLevelType w:val="hybridMultilevel"/>
    <w:tmpl w:val="42E23022"/>
    <w:lvl w:ilvl="0" w:tplc="561282CC">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7FD50AA"/>
    <w:multiLevelType w:val="hybridMultilevel"/>
    <w:tmpl w:val="79868898"/>
    <w:lvl w:ilvl="0" w:tplc="ACA496CC">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13E5F14"/>
    <w:multiLevelType w:val="hybridMultilevel"/>
    <w:tmpl w:val="8528DB8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70E3073D"/>
    <w:multiLevelType w:val="hybridMultilevel"/>
    <w:tmpl w:val="9B8603A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2"/>
  </w:num>
  <w:num w:numId="2">
    <w:abstractNumId w:val="8"/>
  </w:num>
  <w:num w:numId="3">
    <w:abstractNumId w:val="3"/>
  </w:num>
  <w:num w:numId="4">
    <w:abstractNumId w:val="4"/>
  </w:num>
  <w:num w:numId="5">
    <w:abstractNumId w:val="6"/>
  </w:num>
  <w:num w:numId="6">
    <w:abstractNumId w:val="9"/>
  </w:num>
  <w:num w:numId="7">
    <w:abstractNumId w:val="10"/>
  </w:num>
  <w:num w:numId="8">
    <w:abstractNumId w:val="11"/>
  </w:num>
  <w:num w:numId="9">
    <w:abstractNumId w:val="5"/>
  </w:num>
  <w:num w:numId="10">
    <w:abstractNumId w:val="0"/>
  </w:num>
  <w:num w:numId="11">
    <w:abstractNumId w:val="7"/>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282987"/>
    <w:rsid w:val="00075D98"/>
    <w:rsid w:val="001A0E47"/>
    <w:rsid w:val="00282987"/>
    <w:rsid w:val="003256B3"/>
    <w:rsid w:val="003F6448"/>
    <w:rsid w:val="003F67D7"/>
    <w:rsid w:val="00420B98"/>
    <w:rsid w:val="00473C9A"/>
    <w:rsid w:val="004A3CFF"/>
    <w:rsid w:val="004C3335"/>
    <w:rsid w:val="00536DA8"/>
    <w:rsid w:val="006276C4"/>
    <w:rsid w:val="007346AA"/>
    <w:rsid w:val="00880396"/>
    <w:rsid w:val="008F09BB"/>
    <w:rsid w:val="00AE5634"/>
    <w:rsid w:val="00B6013C"/>
    <w:rsid w:val="00C77700"/>
    <w:rsid w:val="00E02475"/>
    <w:rsid w:val="00E23DFB"/>
    <w:rsid w:val="00E51C2C"/>
    <w:rsid w:val="00EB50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B50D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80396"/>
    <w:pPr>
      <w:tabs>
        <w:tab w:val="center" w:pos="4680"/>
        <w:tab w:val="right" w:pos="9360"/>
      </w:tabs>
      <w:spacing w:after="0" w:line="240" w:lineRule="auto"/>
    </w:pPr>
  </w:style>
  <w:style w:type="character" w:customStyle="1" w:styleId="HeaderChar">
    <w:name w:val="Header Char"/>
    <w:basedOn w:val="DefaultParagraphFont"/>
    <w:link w:val="Header"/>
    <w:uiPriority w:val="99"/>
    <w:rsid w:val="00880396"/>
  </w:style>
  <w:style w:type="paragraph" w:styleId="Footer">
    <w:name w:val="footer"/>
    <w:basedOn w:val="Normal"/>
    <w:link w:val="FooterChar"/>
    <w:uiPriority w:val="99"/>
    <w:unhideWhenUsed/>
    <w:rsid w:val="00880396"/>
    <w:pPr>
      <w:tabs>
        <w:tab w:val="center" w:pos="4680"/>
        <w:tab w:val="right" w:pos="9360"/>
      </w:tabs>
      <w:spacing w:after="0" w:line="240" w:lineRule="auto"/>
    </w:pPr>
  </w:style>
  <w:style w:type="character" w:customStyle="1" w:styleId="FooterChar">
    <w:name w:val="Footer Char"/>
    <w:basedOn w:val="DefaultParagraphFont"/>
    <w:link w:val="Footer"/>
    <w:uiPriority w:val="99"/>
    <w:rsid w:val="00880396"/>
  </w:style>
  <w:style w:type="paragraph" w:styleId="ListParagraph">
    <w:name w:val="List Paragraph"/>
    <w:basedOn w:val="Normal"/>
    <w:uiPriority w:val="34"/>
    <w:qFormat/>
    <w:rsid w:val="003256B3"/>
    <w:pPr>
      <w:ind w:left="720"/>
      <w:contextualSpacing/>
    </w:pPr>
  </w:style>
  <w:style w:type="character" w:styleId="CommentReference">
    <w:name w:val="annotation reference"/>
    <w:basedOn w:val="DefaultParagraphFont"/>
    <w:uiPriority w:val="99"/>
    <w:semiHidden/>
    <w:unhideWhenUsed/>
    <w:rsid w:val="00AE5634"/>
    <w:rPr>
      <w:sz w:val="16"/>
      <w:szCs w:val="16"/>
    </w:rPr>
  </w:style>
  <w:style w:type="paragraph" w:styleId="CommentText">
    <w:name w:val="annotation text"/>
    <w:basedOn w:val="Normal"/>
    <w:link w:val="CommentTextChar"/>
    <w:uiPriority w:val="99"/>
    <w:semiHidden/>
    <w:unhideWhenUsed/>
    <w:rsid w:val="00AE5634"/>
    <w:pPr>
      <w:spacing w:line="240" w:lineRule="auto"/>
    </w:pPr>
    <w:rPr>
      <w:sz w:val="20"/>
      <w:szCs w:val="20"/>
    </w:rPr>
  </w:style>
  <w:style w:type="character" w:customStyle="1" w:styleId="CommentTextChar">
    <w:name w:val="Comment Text Char"/>
    <w:basedOn w:val="DefaultParagraphFont"/>
    <w:link w:val="CommentText"/>
    <w:uiPriority w:val="99"/>
    <w:semiHidden/>
    <w:rsid w:val="00AE5634"/>
    <w:rPr>
      <w:sz w:val="20"/>
      <w:szCs w:val="20"/>
    </w:rPr>
  </w:style>
  <w:style w:type="paragraph" w:styleId="CommentSubject">
    <w:name w:val="annotation subject"/>
    <w:basedOn w:val="CommentText"/>
    <w:next w:val="CommentText"/>
    <w:link w:val="CommentSubjectChar"/>
    <w:uiPriority w:val="99"/>
    <w:semiHidden/>
    <w:unhideWhenUsed/>
    <w:rsid w:val="00AE5634"/>
    <w:rPr>
      <w:b/>
      <w:bCs/>
    </w:rPr>
  </w:style>
  <w:style w:type="character" w:customStyle="1" w:styleId="CommentSubjectChar">
    <w:name w:val="Comment Subject Char"/>
    <w:basedOn w:val="CommentTextChar"/>
    <w:link w:val="CommentSubject"/>
    <w:uiPriority w:val="99"/>
    <w:semiHidden/>
    <w:rsid w:val="00AE5634"/>
    <w:rPr>
      <w:b/>
      <w:bCs/>
      <w:sz w:val="20"/>
      <w:szCs w:val="20"/>
    </w:rPr>
  </w:style>
  <w:style w:type="paragraph" w:styleId="BalloonText">
    <w:name w:val="Balloon Text"/>
    <w:basedOn w:val="Normal"/>
    <w:link w:val="BalloonTextChar"/>
    <w:uiPriority w:val="99"/>
    <w:semiHidden/>
    <w:unhideWhenUsed/>
    <w:rsid w:val="00AE563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E563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80396"/>
    <w:pPr>
      <w:tabs>
        <w:tab w:val="center" w:pos="4680"/>
        <w:tab w:val="right" w:pos="9360"/>
      </w:tabs>
      <w:spacing w:after="0" w:line="240" w:lineRule="auto"/>
    </w:pPr>
  </w:style>
  <w:style w:type="character" w:customStyle="1" w:styleId="HeaderChar">
    <w:name w:val="Header Char"/>
    <w:basedOn w:val="DefaultParagraphFont"/>
    <w:link w:val="Header"/>
    <w:uiPriority w:val="99"/>
    <w:rsid w:val="00880396"/>
  </w:style>
  <w:style w:type="paragraph" w:styleId="Footer">
    <w:name w:val="footer"/>
    <w:basedOn w:val="Normal"/>
    <w:link w:val="FooterChar"/>
    <w:uiPriority w:val="99"/>
    <w:unhideWhenUsed/>
    <w:rsid w:val="00880396"/>
    <w:pPr>
      <w:tabs>
        <w:tab w:val="center" w:pos="4680"/>
        <w:tab w:val="right" w:pos="9360"/>
      </w:tabs>
      <w:spacing w:after="0" w:line="240" w:lineRule="auto"/>
    </w:pPr>
  </w:style>
  <w:style w:type="character" w:customStyle="1" w:styleId="FooterChar">
    <w:name w:val="Footer Char"/>
    <w:basedOn w:val="DefaultParagraphFont"/>
    <w:link w:val="Footer"/>
    <w:uiPriority w:val="99"/>
    <w:rsid w:val="00880396"/>
  </w:style>
  <w:style w:type="paragraph" w:styleId="ListParagraph">
    <w:name w:val="List Paragraph"/>
    <w:basedOn w:val="Normal"/>
    <w:uiPriority w:val="34"/>
    <w:qFormat/>
    <w:rsid w:val="003256B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0644826">
      <w:bodyDiv w:val="1"/>
      <w:marLeft w:val="0"/>
      <w:marRight w:val="0"/>
      <w:marTop w:val="0"/>
      <w:marBottom w:val="0"/>
      <w:divBdr>
        <w:top w:val="none" w:sz="0" w:space="0" w:color="auto"/>
        <w:left w:val="none" w:sz="0" w:space="0" w:color="auto"/>
        <w:bottom w:val="none" w:sz="0" w:space="0" w:color="auto"/>
        <w:right w:val="none" w:sz="0" w:space="0" w:color="auto"/>
      </w:divBdr>
    </w:div>
    <w:div w:id="621348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Pages>
  <Words>1579</Words>
  <Characters>9005</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Eric J. Johnson</dc:creator>
  <cp:lastModifiedBy>Eric J. Johnson</cp:lastModifiedBy>
  <cp:revision>5</cp:revision>
  <dcterms:created xsi:type="dcterms:W3CDTF">2011-08-29T15:00:00Z</dcterms:created>
  <dcterms:modified xsi:type="dcterms:W3CDTF">2011-08-29T15:03:00Z</dcterms:modified>
</cp:coreProperties>
</file>